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B2DF" w14:textId="77777777" w:rsidR="00A04000" w:rsidRDefault="00BC2D96">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Social Rights Advocacy Centre</w:t>
      </w:r>
    </w:p>
    <w:p w14:paraId="64B0C8DC" w14:textId="77777777" w:rsidR="00A04000" w:rsidRDefault="00BC2D96">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114300" distR="114300" wp14:anchorId="3ED6903E" wp14:editId="486861B5">
            <wp:extent cx="1095375" cy="8197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095375" cy="819785"/>
                    </a:xfrm>
                    <a:prstGeom prst="rect">
                      <a:avLst/>
                    </a:prstGeom>
                    <a:ln/>
                  </pic:spPr>
                </pic:pic>
              </a:graphicData>
            </a:graphic>
          </wp:inline>
        </w:drawing>
      </w:r>
    </w:p>
    <w:p w14:paraId="6D16946F" w14:textId="77777777" w:rsidR="00A04000" w:rsidRDefault="00A0400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16495179" w14:textId="77777777" w:rsidR="00A04000" w:rsidRDefault="00A0400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15C75F35" w14:textId="77777777" w:rsidR="00A04000" w:rsidRDefault="00BC2D96">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Centre for Equality Rights in Accommodation</w:t>
      </w:r>
    </w:p>
    <w:p w14:paraId="1C9C3C56" w14:textId="77777777" w:rsidR="00A04000" w:rsidRDefault="00BC2D96">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114300" distR="114300" wp14:anchorId="677925A8" wp14:editId="2DA6941F">
            <wp:extent cx="2924175" cy="509269"/>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924175" cy="509269"/>
                    </a:xfrm>
                    <a:prstGeom prst="rect">
                      <a:avLst/>
                    </a:prstGeom>
                    <a:ln/>
                  </pic:spPr>
                </pic:pic>
              </a:graphicData>
            </a:graphic>
          </wp:inline>
        </w:drawing>
      </w:r>
    </w:p>
    <w:p w14:paraId="30C37F0B" w14:textId="77777777" w:rsidR="00A04000" w:rsidRDefault="00A0400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56ED8DA1" w14:textId="77777777" w:rsidR="00A04000" w:rsidRDefault="00A04000">
      <w:pPr>
        <w:shd w:val="clear" w:color="auto" w:fill="FFFFFF"/>
        <w:spacing w:after="120" w:line="240" w:lineRule="auto"/>
        <w:rPr>
          <w:rFonts w:ascii="Times New Roman" w:eastAsia="Times New Roman" w:hAnsi="Times New Roman" w:cs="Times New Roman"/>
          <w:b/>
          <w:sz w:val="24"/>
          <w:szCs w:val="24"/>
        </w:rPr>
      </w:pPr>
    </w:p>
    <w:p w14:paraId="725F4203" w14:textId="77777777" w:rsidR="00A04000" w:rsidRDefault="00A04000">
      <w:pPr>
        <w:shd w:val="clear" w:color="auto" w:fill="FFFFFF"/>
        <w:spacing w:after="120" w:line="240" w:lineRule="auto"/>
        <w:rPr>
          <w:rFonts w:ascii="Times New Roman" w:eastAsia="Times New Roman" w:hAnsi="Times New Roman" w:cs="Times New Roman"/>
          <w:b/>
          <w:sz w:val="24"/>
          <w:szCs w:val="24"/>
        </w:rPr>
      </w:pPr>
    </w:p>
    <w:p w14:paraId="4B7455D7" w14:textId="77777777" w:rsidR="00A04000" w:rsidRDefault="00A04000">
      <w:pPr>
        <w:shd w:val="clear" w:color="auto" w:fill="FFFFFF"/>
        <w:spacing w:after="120" w:line="240" w:lineRule="auto"/>
        <w:rPr>
          <w:rFonts w:ascii="Times New Roman" w:eastAsia="Times New Roman" w:hAnsi="Times New Roman" w:cs="Times New Roman"/>
          <w:b/>
          <w:sz w:val="24"/>
          <w:szCs w:val="24"/>
        </w:rPr>
      </w:pPr>
    </w:p>
    <w:p w14:paraId="490DF08C" w14:textId="48625F1D" w:rsidR="00A04000" w:rsidRDefault="00BC2D96">
      <w:pPr>
        <w:shd w:val="clear" w:color="auto" w:fill="FFFFFF"/>
        <w:spacing w:after="12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The Duty to Accommodate Code-protected Groups in the Upgrading and Development of Low Rent, Sub-substandard Housing:</w:t>
      </w:r>
    </w:p>
    <w:p w14:paraId="36D203BA" w14:textId="77777777" w:rsidR="00A04000" w:rsidRDefault="00BC2D96">
      <w:pPr>
        <w:shd w:val="clear" w:color="auto" w:fill="FFFFFF"/>
        <w:spacing w:after="12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Meeting a Standard of Reasonableness Informed by International Human Rights Law</w:t>
      </w:r>
    </w:p>
    <w:p w14:paraId="31E5BA62" w14:textId="77777777" w:rsidR="00A04000" w:rsidRDefault="00A04000">
      <w:pPr>
        <w:shd w:val="clear" w:color="auto" w:fill="FFFFFF"/>
        <w:spacing w:after="120" w:line="240" w:lineRule="auto"/>
        <w:jc w:val="center"/>
        <w:rPr>
          <w:rFonts w:ascii="Times New Roman" w:eastAsia="Times New Roman" w:hAnsi="Times New Roman" w:cs="Times New Roman"/>
          <w:b/>
          <w:sz w:val="24"/>
          <w:szCs w:val="24"/>
        </w:rPr>
      </w:pPr>
    </w:p>
    <w:p w14:paraId="552C03D6" w14:textId="77777777" w:rsidR="00A04000" w:rsidRDefault="00BC2D96">
      <w:pPr>
        <w:shd w:val="clear" w:color="auto" w:fill="FFFFFF"/>
        <w:spacing w:after="12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Preliminary Draft</w:t>
      </w:r>
    </w:p>
    <w:p w14:paraId="149C1877" w14:textId="1EDDB63B" w:rsidR="00A04000" w:rsidRDefault="00BC2D96">
      <w:pPr>
        <w:shd w:val="clear" w:color="auto" w:fill="FFFFFF"/>
        <w:spacing w:after="12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October 1</w:t>
      </w:r>
      <w:r w:rsidR="0034144A">
        <w:rPr>
          <w:rFonts w:ascii="Times New Roman" w:eastAsia="Times New Roman" w:hAnsi="Times New Roman" w:cs="Times New Roman"/>
          <w:b/>
          <w:color w:val="FF0000"/>
          <w:sz w:val="24"/>
          <w:szCs w:val="24"/>
        </w:rPr>
        <w:t>5</w:t>
      </w:r>
      <w:r>
        <w:rPr>
          <w:rFonts w:ascii="Times New Roman" w:eastAsia="Times New Roman" w:hAnsi="Times New Roman" w:cs="Times New Roman"/>
          <w:b/>
          <w:color w:val="FF0000"/>
          <w:sz w:val="24"/>
          <w:szCs w:val="24"/>
        </w:rPr>
        <w:t>, 2019</w:t>
      </w:r>
    </w:p>
    <w:p w14:paraId="43633A0A" w14:textId="77777777" w:rsidR="00A04000" w:rsidRDefault="00A04000">
      <w:pPr>
        <w:shd w:val="clear" w:color="auto" w:fill="FFFFFF"/>
        <w:spacing w:after="120" w:line="240" w:lineRule="auto"/>
        <w:rPr>
          <w:rFonts w:ascii="Times New Roman" w:eastAsia="Times New Roman" w:hAnsi="Times New Roman" w:cs="Times New Roman"/>
          <w:b/>
          <w:sz w:val="24"/>
          <w:szCs w:val="24"/>
        </w:rPr>
      </w:pPr>
    </w:p>
    <w:p w14:paraId="50B65CEF" w14:textId="77777777" w:rsidR="00A04000" w:rsidRDefault="00A04000">
      <w:pPr>
        <w:shd w:val="clear" w:color="auto" w:fill="FFFFFF"/>
        <w:spacing w:after="120" w:line="240" w:lineRule="auto"/>
        <w:rPr>
          <w:rFonts w:ascii="Times New Roman" w:eastAsia="Times New Roman" w:hAnsi="Times New Roman" w:cs="Times New Roman"/>
          <w:b/>
          <w:sz w:val="24"/>
          <w:szCs w:val="24"/>
        </w:rPr>
      </w:pPr>
    </w:p>
    <w:p w14:paraId="7F182BB7" w14:textId="77777777" w:rsidR="00A04000" w:rsidRDefault="00A04000">
      <w:pPr>
        <w:shd w:val="clear" w:color="auto" w:fill="FFFFFF"/>
        <w:spacing w:after="120" w:line="240" w:lineRule="auto"/>
        <w:rPr>
          <w:rFonts w:ascii="Times New Roman" w:eastAsia="Times New Roman" w:hAnsi="Times New Roman" w:cs="Times New Roman"/>
          <w:b/>
          <w:sz w:val="24"/>
          <w:szCs w:val="24"/>
        </w:rPr>
      </w:pPr>
    </w:p>
    <w:p w14:paraId="5D520516" w14:textId="77777777" w:rsidR="00A04000" w:rsidRDefault="00BC2D96">
      <w:pPr>
        <w:shd w:val="clear" w:color="auto" w:fill="FFFFFF"/>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Bruce Porter</w:t>
      </w:r>
    </w:p>
    <w:p w14:paraId="2E9A15B4" w14:textId="77777777" w:rsidR="00A04000" w:rsidRDefault="00BC2D96">
      <w:pPr>
        <w:shd w:val="clear" w:color="auto" w:fill="FFFFFF"/>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Teja Rachamalla</w:t>
      </w:r>
    </w:p>
    <w:p w14:paraId="683F65C4" w14:textId="77777777" w:rsidR="00A04000" w:rsidRDefault="00A04000">
      <w:pPr>
        <w:shd w:val="clear" w:color="auto" w:fill="FFFFFF"/>
        <w:spacing w:after="120" w:line="240" w:lineRule="auto"/>
        <w:rPr>
          <w:rFonts w:ascii="Times New Roman" w:eastAsia="Times New Roman" w:hAnsi="Times New Roman" w:cs="Times New Roman"/>
          <w:b/>
          <w:sz w:val="24"/>
          <w:szCs w:val="24"/>
        </w:rPr>
      </w:pPr>
    </w:p>
    <w:p w14:paraId="63300610" w14:textId="77777777" w:rsidR="00A04000" w:rsidRDefault="00A04000">
      <w:pPr>
        <w:rPr>
          <w:rFonts w:ascii="Times New Roman" w:eastAsia="Times New Roman" w:hAnsi="Times New Roman" w:cs="Times New Roman"/>
          <w:sz w:val="28"/>
          <w:szCs w:val="28"/>
        </w:rPr>
      </w:pPr>
    </w:p>
    <w:p w14:paraId="4465894D" w14:textId="77777777" w:rsidR="00A04000" w:rsidRDefault="00BC2D96">
      <w:pPr>
        <w:rPr>
          <w:rFonts w:ascii="Times New Roman" w:eastAsia="Times New Roman" w:hAnsi="Times New Roman" w:cs="Times New Roman"/>
          <w:b/>
          <w:sz w:val="24"/>
          <w:szCs w:val="24"/>
        </w:rPr>
      </w:pPr>
      <w:r>
        <w:br w:type="page"/>
      </w:r>
    </w:p>
    <w:sdt>
      <w:sdtPr>
        <w:rPr>
          <w:rFonts w:ascii="Calibri" w:eastAsia="Calibri" w:hAnsi="Calibri" w:cs="Calibri"/>
          <w:color w:val="auto"/>
          <w:sz w:val="22"/>
          <w:szCs w:val="22"/>
          <w:lang w:eastAsia="en-CA"/>
        </w:rPr>
        <w:id w:val="1180322556"/>
        <w:docPartObj>
          <w:docPartGallery w:val="Table of Contents"/>
          <w:docPartUnique/>
        </w:docPartObj>
      </w:sdtPr>
      <w:sdtEndPr>
        <w:rPr>
          <w:b/>
          <w:bCs/>
          <w:noProof/>
        </w:rPr>
      </w:sdtEndPr>
      <w:sdtContent>
        <w:p w14:paraId="3939498D" w14:textId="05B0D79C" w:rsidR="006A2C1B" w:rsidRPr="00C0550A" w:rsidRDefault="00C0550A">
          <w:pPr>
            <w:pStyle w:val="TOCHeading"/>
            <w:rPr>
              <w:rFonts w:ascii="Times New Roman" w:hAnsi="Times New Roman" w:cs="Times New Roman"/>
              <w:color w:val="auto"/>
            </w:rPr>
          </w:pPr>
          <w:r w:rsidRPr="00C0550A">
            <w:rPr>
              <w:rFonts w:ascii="Times New Roman" w:hAnsi="Times New Roman" w:cs="Times New Roman"/>
              <w:color w:val="auto"/>
            </w:rPr>
            <w:t>Table of</w:t>
          </w:r>
          <w:r>
            <w:t xml:space="preserve"> </w:t>
          </w:r>
          <w:r w:rsidR="006A2C1B" w:rsidRPr="00C0550A">
            <w:rPr>
              <w:rFonts w:ascii="Times New Roman" w:hAnsi="Times New Roman" w:cs="Times New Roman"/>
              <w:color w:val="auto"/>
            </w:rPr>
            <w:t>Contents</w:t>
          </w:r>
        </w:p>
        <w:p w14:paraId="45D279FF" w14:textId="13A86DFC" w:rsidR="006A2C1B" w:rsidRPr="00C0550A" w:rsidRDefault="006A2C1B" w:rsidP="00C0550A">
          <w:pPr>
            <w:pStyle w:val="TOC1"/>
            <w:rPr>
              <w:rFonts w:asciiTheme="minorHAnsi" w:eastAsiaTheme="minorEastAsia" w:hAnsiTheme="minorHAnsi" w:cstheme="minorBidi"/>
              <w:lang w:val="en-CA"/>
            </w:rPr>
          </w:pPr>
          <w:r>
            <w:fldChar w:fldCharType="begin"/>
          </w:r>
          <w:r>
            <w:instrText xml:space="preserve"> TOC \o "1-3" \h \z \u </w:instrText>
          </w:r>
          <w:r>
            <w:fldChar w:fldCharType="separate"/>
          </w:r>
          <w:hyperlink w:anchor="_Toc22031117" w:history="1">
            <w:r w:rsidRPr="00C0550A">
              <w:rPr>
                <w:rStyle w:val="Hyperlink"/>
              </w:rPr>
              <w:t>1.</w:t>
            </w:r>
            <w:r w:rsidRPr="00C0550A">
              <w:rPr>
                <w:rFonts w:asciiTheme="minorHAnsi" w:eastAsiaTheme="minorEastAsia" w:hAnsiTheme="minorHAnsi" w:cstheme="minorBidi"/>
                <w:lang w:val="en-CA"/>
              </w:rPr>
              <w:tab/>
            </w:r>
            <w:r w:rsidRPr="00C0550A">
              <w:rPr>
                <w:rStyle w:val="Hyperlink"/>
              </w:rPr>
              <w:t xml:space="preserve">The </w:t>
            </w:r>
            <w:r w:rsidRPr="00C0550A">
              <w:rPr>
                <w:rStyle w:val="Hyperlink"/>
                <w:rFonts w:ascii="Times New Roman" w:hAnsi="Times New Roman" w:cs="Times New Roman"/>
              </w:rPr>
              <w:t>Duty</w:t>
            </w:r>
            <w:r w:rsidRPr="00C0550A">
              <w:rPr>
                <w:rStyle w:val="Hyperlink"/>
              </w:rPr>
              <w:t xml:space="preserve"> to Accommodate Code-protected Groups in Housing Upgrading and Development Projects</w:t>
            </w:r>
            <w:r w:rsidRPr="00C0550A">
              <w:rPr>
                <w:webHidden/>
              </w:rPr>
              <w:tab/>
            </w:r>
            <w:r w:rsidRPr="00C0550A">
              <w:rPr>
                <w:webHidden/>
              </w:rPr>
              <w:fldChar w:fldCharType="begin"/>
            </w:r>
            <w:r w:rsidRPr="00C0550A">
              <w:rPr>
                <w:webHidden/>
              </w:rPr>
              <w:instrText xml:space="preserve"> PAGEREF _Toc22031117 \h </w:instrText>
            </w:r>
            <w:r w:rsidRPr="00C0550A">
              <w:rPr>
                <w:webHidden/>
              </w:rPr>
            </w:r>
            <w:r w:rsidRPr="00C0550A">
              <w:rPr>
                <w:webHidden/>
              </w:rPr>
              <w:fldChar w:fldCharType="separate"/>
            </w:r>
            <w:r w:rsidR="0034144A">
              <w:rPr>
                <w:webHidden/>
              </w:rPr>
              <w:t>2</w:t>
            </w:r>
            <w:r w:rsidRPr="00C0550A">
              <w:rPr>
                <w:webHidden/>
              </w:rPr>
              <w:fldChar w:fldCharType="end"/>
            </w:r>
          </w:hyperlink>
        </w:p>
        <w:p w14:paraId="369EFF7B" w14:textId="67D6CC13"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18" w:history="1">
            <w:r w:rsidRPr="007D6A46">
              <w:rPr>
                <w:rStyle w:val="Hyperlink"/>
                <w:noProof/>
              </w:rPr>
              <w:t>i.</w:t>
            </w:r>
            <w:r>
              <w:rPr>
                <w:rFonts w:asciiTheme="minorHAnsi" w:eastAsiaTheme="minorEastAsia" w:hAnsiTheme="minorHAnsi" w:cstheme="minorBidi"/>
                <w:noProof/>
                <w:lang w:val="en-CA"/>
              </w:rPr>
              <w:tab/>
            </w:r>
            <w:r w:rsidRPr="007D6A46">
              <w:rPr>
                <w:rStyle w:val="Hyperlink"/>
                <w:noProof/>
              </w:rPr>
              <w:t>Adverse effect discrimination in housing upgrading and development under the Code</w:t>
            </w:r>
            <w:r>
              <w:rPr>
                <w:noProof/>
                <w:webHidden/>
              </w:rPr>
              <w:tab/>
            </w:r>
            <w:r>
              <w:rPr>
                <w:noProof/>
                <w:webHidden/>
              </w:rPr>
              <w:fldChar w:fldCharType="begin"/>
            </w:r>
            <w:r>
              <w:rPr>
                <w:noProof/>
                <w:webHidden/>
              </w:rPr>
              <w:instrText xml:space="preserve"> PAGEREF _Toc22031118 \h </w:instrText>
            </w:r>
            <w:r>
              <w:rPr>
                <w:noProof/>
                <w:webHidden/>
              </w:rPr>
            </w:r>
            <w:r>
              <w:rPr>
                <w:noProof/>
                <w:webHidden/>
              </w:rPr>
              <w:fldChar w:fldCharType="separate"/>
            </w:r>
            <w:r w:rsidR="0034144A">
              <w:rPr>
                <w:noProof/>
                <w:webHidden/>
              </w:rPr>
              <w:t>2</w:t>
            </w:r>
            <w:r>
              <w:rPr>
                <w:noProof/>
                <w:webHidden/>
              </w:rPr>
              <w:fldChar w:fldCharType="end"/>
            </w:r>
          </w:hyperlink>
        </w:p>
        <w:p w14:paraId="0CBBF557" w14:textId="1711E39A"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19" w:history="1">
            <w:r w:rsidRPr="007D6A46">
              <w:rPr>
                <w:rStyle w:val="Hyperlink"/>
                <w:noProof/>
              </w:rPr>
              <w:t>ii.</w:t>
            </w:r>
            <w:r>
              <w:rPr>
                <w:rFonts w:asciiTheme="minorHAnsi" w:eastAsiaTheme="minorEastAsia" w:hAnsiTheme="minorHAnsi" w:cstheme="minorBidi"/>
                <w:noProof/>
                <w:lang w:val="en-CA"/>
              </w:rPr>
              <w:tab/>
            </w:r>
            <w:r w:rsidRPr="007D6A46">
              <w:rPr>
                <w:rStyle w:val="Hyperlink"/>
                <w:noProof/>
              </w:rPr>
              <w:t>General obligations of municipalities and developers in light of systemic patterns affecting Code-protected groups in rental housing</w:t>
            </w:r>
            <w:r>
              <w:rPr>
                <w:noProof/>
                <w:webHidden/>
              </w:rPr>
              <w:tab/>
            </w:r>
            <w:r>
              <w:rPr>
                <w:noProof/>
                <w:webHidden/>
              </w:rPr>
              <w:fldChar w:fldCharType="begin"/>
            </w:r>
            <w:r>
              <w:rPr>
                <w:noProof/>
                <w:webHidden/>
              </w:rPr>
              <w:instrText xml:space="preserve"> PAGEREF _Toc22031119 \h </w:instrText>
            </w:r>
            <w:r>
              <w:rPr>
                <w:noProof/>
                <w:webHidden/>
              </w:rPr>
            </w:r>
            <w:r>
              <w:rPr>
                <w:noProof/>
                <w:webHidden/>
              </w:rPr>
              <w:fldChar w:fldCharType="separate"/>
            </w:r>
            <w:r w:rsidR="0034144A">
              <w:rPr>
                <w:noProof/>
                <w:webHidden/>
              </w:rPr>
              <w:t>3</w:t>
            </w:r>
            <w:r>
              <w:rPr>
                <w:noProof/>
                <w:webHidden/>
              </w:rPr>
              <w:fldChar w:fldCharType="end"/>
            </w:r>
          </w:hyperlink>
        </w:p>
        <w:p w14:paraId="21BFD469" w14:textId="743D32EE"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20" w:history="1">
            <w:r w:rsidRPr="007D6A46">
              <w:rPr>
                <w:rStyle w:val="Hyperlink"/>
                <w:noProof/>
              </w:rPr>
              <w:t>iii.</w:t>
            </w:r>
            <w:r>
              <w:rPr>
                <w:rFonts w:asciiTheme="minorHAnsi" w:eastAsiaTheme="minorEastAsia" w:hAnsiTheme="minorHAnsi" w:cstheme="minorBidi"/>
                <w:noProof/>
                <w:lang w:val="en-CA"/>
              </w:rPr>
              <w:tab/>
            </w:r>
            <w:r w:rsidRPr="007D6A46">
              <w:rPr>
                <w:rStyle w:val="Hyperlink"/>
                <w:noProof/>
              </w:rPr>
              <w:t>Low income status and prohibited grounds of discrimination in housing</w:t>
            </w:r>
            <w:r>
              <w:rPr>
                <w:noProof/>
                <w:webHidden/>
              </w:rPr>
              <w:tab/>
            </w:r>
            <w:r>
              <w:rPr>
                <w:noProof/>
                <w:webHidden/>
              </w:rPr>
              <w:fldChar w:fldCharType="begin"/>
            </w:r>
            <w:r>
              <w:rPr>
                <w:noProof/>
                <w:webHidden/>
              </w:rPr>
              <w:instrText xml:space="preserve"> PAGEREF _Toc22031120 \h </w:instrText>
            </w:r>
            <w:r>
              <w:rPr>
                <w:noProof/>
                <w:webHidden/>
              </w:rPr>
            </w:r>
            <w:r>
              <w:rPr>
                <w:noProof/>
                <w:webHidden/>
              </w:rPr>
              <w:fldChar w:fldCharType="separate"/>
            </w:r>
            <w:r w:rsidR="0034144A">
              <w:rPr>
                <w:noProof/>
                <w:webHidden/>
              </w:rPr>
              <w:t>4</w:t>
            </w:r>
            <w:r>
              <w:rPr>
                <w:noProof/>
                <w:webHidden/>
              </w:rPr>
              <w:fldChar w:fldCharType="end"/>
            </w:r>
          </w:hyperlink>
        </w:p>
        <w:p w14:paraId="574496C3" w14:textId="74E6B0D9"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21" w:history="1">
            <w:r w:rsidRPr="007D6A46">
              <w:rPr>
                <w:rStyle w:val="Hyperlink"/>
                <w:noProof/>
              </w:rPr>
              <w:t>iv.</w:t>
            </w:r>
            <w:r>
              <w:rPr>
                <w:rFonts w:asciiTheme="minorHAnsi" w:eastAsiaTheme="minorEastAsia" w:hAnsiTheme="minorHAnsi" w:cstheme="minorBidi"/>
                <w:noProof/>
                <w:lang w:val="en-CA"/>
              </w:rPr>
              <w:tab/>
            </w:r>
            <w:r w:rsidRPr="007D6A46">
              <w:rPr>
                <w:rStyle w:val="Hyperlink"/>
                <w:noProof/>
              </w:rPr>
              <w:t>Direct discrimination</w:t>
            </w:r>
            <w:r>
              <w:rPr>
                <w:noProof/>
                <w:webHidden/>
              </w:rPr>
              <w:tab/>
            </w:r>
            <w:r>
              <w:rPr>
                <w:noProof/>
                <w:webHidden/>
              </w:rPr>
              <w:fldChar w:fldCharType="begin"/>
            </w:r>
            <w:r>
              <w:rPr>
                <w:noProof/>
                <w:webHidden/>
              </w:rPr>
              <w:instrText xml:space="preserve"> PAGEREF _Toc22031121 \h </w:instrText>
            </w:r>
            <w:r>
              <w:rPr>
                <w:noProof/>
                <w:webHidden/>
              </w:rPr>
            </w:r>
            <w:r>
              <w:rPr>
                <w:noProof/>
                <w:webHidden/>
              </w:rPr>
              <w:fldChar w:fldCharType="separate"/>
            </w:r>
            <w:r w:rsidR="0034144A">
              <w:rPr>
                <w:noProof/>
                <w:webHidden/>
              </w:rPr>
              <w:t>5</w:t>
            </w:r>
            <w:r>
              <w:rPr>
                <w:noProof/>
                <w:webHidden/>
              </w:rPr>
              <w:fldChar w:fldCharType="end"/>
            </w:r>
          </w:hyperlink>
        </w:p>
        <w:p w14:paraId="7D588FC7" w14:textId="2662A0A3"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22" w:history="1">
            <w:r w:rsidRPr="007D6A46">
              <w:rPr>
                <w:rStyle w:val="Hyperlink"/>
                <w:noProof/>
              </w:rPr>
              <w:t>v.</w:t>
            </w:r>
            <w:r>
              <w:rPr>
                <w:rFonts w:asciiTheme="minorHAnsi" w:eastAsiaTheme="minorEastAsia" w:hAnsiTheme="minorHAnsi" w:cstheme="minorBidi"/>
                <w:noProof/>
                <w:lang w:val="en-CA"/>
              </w:rPr>
              <w:tab/>
            </w:r>
            <w:r w:rsidRPr="007D6A46">
              <w:rPr>
                <w:rStyle w:val="Hyperlink"/>
                <w:noProof/>
              </w:rPr>
              <w:t>The blurred line between direct and adverse effect discrimination</w:t>
            </w:r>
            <w:r>
              <w:rPr>
                <w:noProof/>
                <w:webHidden/>
              </w:rPr>
              <w:tab/>
            </w:r>
            <w:r>
              <w:rPr>
                <w:noProof/>
                <w:webHidden/>
              </w:rPr>
              <w:fldChar w:fldCharType="begin"/>
            </w:r>
            <w:r>
              <w:rPr>
                <w:noProof/>
                <w:webHidden/>
              </w:rPr>
              <w:instrText xml:space="preserve"> PAGEREF _Toc22031122 \h </w:instrText>
            </w:r>
            <w:r>
              <w:rPr>
                <w:noProof/>
                <w:webHidden/>
              </w:rPr>
            </w:r>
            <w:r>
              <w:rPr>
                <w:noProof/>
                <w:webHidden/>
              </w:rPr>
              <w:fldChar w:fldCharType="separate"/>
            </w:r>
            <w:r w:rsidR="0034144A">
              <w:rPr>
                <w:noProof/>
                <w:webHidden/>
              </w:rPr>
              <w:t>6</w:t>
            </w:r>
            <w:r>
              <w:rPr>
                <w:noProof/>
                <w:webHidden/>
              </w:rPr>
              <w:fldChar w:fldCharType="end"/>
            </w:r>
          </w:hyperlink>
        </w:p>
        <w:p w14:paraId="4990B66F" w14:textId="52128882"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23" w:history="1">
            <w:r w:rsidRPr="007D6A46">
              <w:rPr>
                <w:rStyle w:val="Hyperlink"/>
                <w:noProof/>
              </w:rPr>
              <w:t>vi.</w:t>
            </w:r>
            <w:r>
              <w:rPr>
                <w:rFonts w:asciiTheme="minorHAnsi" w:eastAsiaTheme="minorEastAsia" w:hAnsiTheme="minorHAnsi" w:cstheme="minorBidi"/>
                <w:noProof/>
                <w:lang w:val="en-CA"/>
              </w:rPr>
              <w:tab/>
            </w:r>
            <w:r w:rsidRPr="007D6A46">
              <w:rPr>
                <w:rStyle w:val="Hyperlink"/>
                <w:noProof/>
              </w:rPr>
              <w:t>The need for a systemic approach</w:t>
            </w:r>
            <w:r>
              <w:rPr>
                <w:noProof/>
                <w:webHidden/>
              </w:rPr>
              <w:tab/>
            </w:r>
            <w:r>
              <w:rPr>
                <w:noProof/>
                <w:webHidden/>
              </w:rPr>
              <w:fldChar w:fldCharType="begin"/>
            </w:r>
            <w:r>
              <w:rPr>
                <w:noProof/>
                <w:webHidden/>
              </w:rPr>
              <w:instrText xml:space="preserve"> PAGEREF _Toc22031123 \h </w:instrText>
            </w:r>
            <w:r>
              <w:rPr>
                <w:noProof/>
                <w:webHidden/>
              </w:rPr>
            </w:r>
            <w:r>
              <w:rPr>
                <w:noProof/>
                <w:webHidden/>
              </w:rPr>
              <w:fldChar w:fldCharType="separate"/>
            </w:r>
            <w:r w:rsidR="0034144A">
              <w:rPr>
                <w:noProof/>
                <w:webHidden/>
              </w:rPr>
              <w:t>7</w:t>
            </w:r>
            <w:r>
              <w:rPr>
                <w:noProof/>
                <w:webHidden/>
              </w:rPr>
              <w:fldChar w:fldCharType="end"/>
            </w:r>
          </w:hyperlink>
        </w:p>
        <w:p w14:paraId="4FB3A4F4" w14:textId="5C9FC179" w:rsidR="006A2C1B" w:rsidRDefault="006A2C1B">
          <w:pPr>
            <w:pStyle w:val="TOC2"/>
            <w:tabs>
              <w:tab w:val="left" w:pos="880"/>
              <w:tab w:val="right" w:leader="dot" w:pos="9350"/>
            </w:tabs>
            <w:rPr>
              <w:rFonts w:asciiTheme="minorHAnsi" w:eastAsiaTheme="minorEastAsia" w:hAnsiTheme="minorHAnsi" w:cstheme="minorBidi"/>
              <w:noProof/>
              <w:lang w:val="en-CA"/>
            </w:rPr>
          </w:pPr>
          <w:hyperlink w:anchor="_Toc22031124" w:history="1">
            <w:r w:rsidRPr="007D6A46">
              <w:rPr>
                <w:rStyle w:val="Hyperlink"/>
                <w:noProof/>
              </w:rPr>
              <w:t>vii.</w:t>
            </w:r>
            <w:r>
              <w:rPr>
                <w:rFonts w:asciiTheme="minorHAnsi" w:eastAsiaTheme="minorEastAsia" w:hAnsiTheme="minorHAnsi" w:cstheme="minorBidi"/>
                <w:noProof/>
                <w:lang w:val="en-CA"/>
              </w:rPr>
              <w:tab/>
            </w:r>
            <w:r w:rsidRPr="007D6A46">
              <w:rPr>
                <w:rStyle w:val="Hyperlink"/>
                <w:noProof/>
              </w:rPr>
              <w:t>The differential impact is more than just statistical</w:t>
            </w:r>
            <w:r>
              <w:rPr>
                <w:noProof/>
                <w:webHidden/>
              </w:rPr>
              <w:tab/>
            </w:r>
            <w:r>
              <w:rPr>
                <w:noProof/>
                <w:webHidden/>
              </w:rPr>
              <w:fldChar w:fldCharType="begin"/>
            </w:r>
            <w:r>
              <w:rPr>
                <w:noProof/>
                <w:webHidden/>
              </w:rPr>
              <w:instrText xml:space="preserve"> PAGEREF _Toc22031124 \h </w:instrText>
            </w:r>
            <w:r>
              <w:rPr>
                <w:noProof/>
                <w:webHidden/>
              </w:rPr>
            </w:r>
            <w:r>
              <w:rPr>
                <w:noProof/>
                <w:webHidden/>
              </w:rPr>
              <w:fldChar w:fldCharType="separate"/>
            </w:r>
            <w:r w:rsidR="0034144A">
              <w:rPr>
                <w:noProof/>
                <w:webHidden/>
              </w:rPr>
              <w:t>8</w:t>
            </w:r>
            <w:r>
              <w:rPr>
                <w:noProof/>
                <w:webHidden/>
              </w:rPr>
              <w:fldChar w:fldCharType="end"/>
            </w:r>
          </w:hyperlink>
        </w:p>
        <w:p w14:paraId="39CBFC4F" w14:textId="3846BF88" w:rsidR="006A2C1B" w:rsidRDefault="006A2C1B" w:rsidP="00C0550A">
          <w:pPr>
            <w:pStyle w:val="TOC1"/>
            <w:rPr>
              <w:rFonts w:asciiTheme="minorHAnsi" w:eastAsiaTheme="minorEastAsia" w:hAnsiTheme="minorHAnsi" w:cstheme="minorBidi"/>
              <w:lang w:val="en-CA"/>
            </w:rPr>
          </w:pPr>
          <w:hyperlink w:anchor="_Toc22031125" w:history="1">
            <w:r w:rsidRPr="007D6A46">
              <w:rPr>
                <w:rStyle w:val="Hyperlink"/>
              </w:rPr>
              <w:t>2.</w:t>
            </w:r>
            <w:r>
              <w:rPr>
                <w:rFonts w:asciiTheme="minorHAnsi" w:eastAsiaTheme="minorEastAsia" w:hAnsiTheme="minorHAnsi" w:cstheme="minorBidi"/>
                <w:lang w:val="en-CA"/>
              </w:rPr>
              <w:tab/>
            </w:r>
            <w:r w:rsidRPr="007D6A46">
              <w:rPr>
                <w:rStyle w:val="Hyperlink"/>
              </w:rPr>
              <w:t>Interpreting the Code Consistently with Relevant International Human Rights Obligations</w:t>
            </w:r>
            <w:r>
              <w:rPr>
                <w:webHidden/>
              </w:rPr>
              <w:tab/>
            </w:r>
            <w:r>
              <w:rPr>
                <w:webHidden/>
              </w:rPr>
              <w:fldChar w:fldCharType="begin"/>
            </w:r>
            <w:r>
              <w:rPr>
                <w:webHidden/>
              </w:rPr>
              <w:instrText xml:space="preserve"> PAGEREF _Toc22031125 \h </w:instrText>
            </w:r>
            <w:r>
              <w:rPr>
                <w:webHidden/>
              </w:rPr>
            </w:r>
            <w:r>
              <w:rPr>
                <w:webHidden/>
              </w:rPr>
              <w:fldChar w:fldCharType="separate"/>
            </w:r>
            <w:r w:rsidR="0034144A">
              <w:rPr>
                <w:webHidden/>
              </w:rPr>
              <w:t>9</w:t>
            </w:r>
            <w:r>
              <w:rPr>
                <w:webHidden/>
              </w:rPr>
              <w:fldChar w:fldCharType="end"/>
            </w:r>
          </w:hyperlink>
        </w:p>
        <w:p w14:paraId="619B2A1B" w14:textId="5114E193"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26" w:history="1">
            <w:r w:rsidRPr="007D6A46">
              <w:rPr>
                <w:rStyle w:val="Hyperlink"/>
                <w:noProof/>
              </w:rPr>
              <w:t>i.</w:t>
            </w:r>
            <w:r>
              <w:rPr>
                <w:rFonts w:asciiTheme="minorHAnsi" w:eastAsiaTheme="minorEastAsia" w:hAnsiTheme="minorHAnsi" w:cstheme="minorBidi"/>
                <w:noProof/>
                <w:lang w:val="en-CA"/>
              </w:rPr>
              <w:tab/>
            </w:r>
            <w:r w:rsidRPr="007D6A46">
              <w:rPr>
                <w:rStyle w:val="Hyperlink"/>
                <w:noProof/>
              </w:rPr>
              <w:t>Presumption of conformity</w:t>
            </w:r>
            <w:r>
              <w:rPr>
                <w:noProof/>
                <w:webHidden/>
              </w:rPr>
              <w:tab/>
            </w:r>
            <w:r>
              <w:rPr>
                <w:noProof/>
                <w:webHidden/>
              </w:rPr>
              <w:fldChar w:fldCharType="begin"/>
            </w:r>
            <w:r>
              <w:rPr>
                <w:noProof/>
                <w:webHidden/>
              </w:rPr>
              <w:instrText xml:space="preserve"> PAGEREF _Toc22031126 \h </w:instrText>
            </w:r>
            <w:r>
              <w:rPr>
                <w:noProof/>
                <w:webHidden/>
              </w:rPr>
            </w:r>
            <w:r>
              <w:rPr>
                <w:noProof/>
                <w:webHidden/>
              </w:rPr>
              <w:fldChar w:fldCharType="separate"/>
            </w:r>
            <w:r w:rsidR="0034144A">
              <w:rPr>
                <w:noProof/>
                <w:webHidden/>
              </w:rPr>
              <w:t>9</w:t>
            </w:r>
            <w:r>
              <w:rPr>
                <w:noProof/>
                <w:webHidden/>
              </w:rPr>
              <w:fldChar w:fldCharType="end"/>
            </w:r>
          </w:hyperlink>
        </w:p>
        <w:p w14:paraId="18AB2B9F" w14:textId="17BD75C8"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27" w:history="1">
            <w:r w:rsidRPr="007D6A46">
              <w:rPr>
                <w:rStyle w:val="Hyperlink"/>
                <w:noProof/>
              </w:rPr>
              <w:t>ii.</w:t>
            </w:r>
            <w:r>
              <w:rPr>
                <w:rFonts w:asciiTheme="minorHAnsi" w:eastAsiaTheme="minorEastAsia" w:hAnsiTheme="minorHAnsi" w:cstheme="minorBidi"/>
                <w:noProof/>
                <w:lang w:val="en-CA"/>
              </w:rPr>
              <w:tab/>
            </w:r>
            <w:r w:rsidRPr="007D6A46">
              <w:rPr>
                <w:rStyle w:val="Hyperlink"/>
                <w:noProof/>
              </w:rPr>
              <w:t>The right to equality in housing under the Code and the right to adequate housing under international human rights law</w:t>
            </w:r>
            <w:r>
              <w:rPr>
                <w:noProof/>
                <w:webHidden/>
              </w:rPr>
              <w:tab/>
            </w:r>
            <w:r>
              <w:rPr>
                <w:noProof/>
                <w:webHidden/>
              </w:rPr>
              <w:fldChar w:fldCharType="begin"/>
            </w:r>
            <w:r>
              <w:rPr>
                <w:noProof/>
                <w:webHidden/>
              </w:rPr>
              <w:instrText xml:space="preserve"> PAGEREF _Toc22031127 \h </w:instrText>
            </w:r>
            <w:r>
              <w:rPr>
                <w:noProof/>
                <w:webHidden/>
              </w:rPr>
            </w:r>
            <w:r>
              <w:rPr>
                <w:noProof/>
                <w:webHidden/>
              </w:rPr>
              <w:fldChar w:fldCharType="separate"/>
            </w:r>
            <w:r w:rsidR="0034144A">
              <w:rPr>
                <w:noProof/>
                <w:webHidden/>
              </w:rPr>
              <w:t>10</w:t>
            </w:r>
            <w:r>
              <w:rPr>
                <w:noProof/>
                <w:webHidden/>
              </w:rPr>
              <w:fldChar w:fldCharType="end"/>
            </w:r>
          </w:hyperlink>
        </w:p>
        <w:p w14:paraId="79B5361E" w14:textId="211ED647"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28" w:history="1">
            <w:r w:rsidRPr="007D6A46">
              <w:rPr>
                <w:rStyle w:val="Hyperlink"/>
                <w:noProof/>
              </w:rPr>
              <w:t>iii.</w:t>
            </w:r>
            <w:r>
              <w:rPr>
                <w:rFonts w:asciiTheme="minorHAnsi" w:eastAsiaTheme="minorEastAsia" w:hAnsiTheme="minorHAnsi" w:cstheme="minorBidi"/>
                <w:noProof/>
                <w:lang w:val="en-CA"/>
              </w:rPr>
              <w:tab/>
            </w:r>
            <w:r w:rsidRPr="007D6A46">
              <w:rPr>
                <w:rStyle w:val="Hyperlink"/>
                <w:noProof/>
              </w:rPr>
              <w:t>International human rights law and reasonable accommodation</w:t>
            </w:r>
            <w:r>
              <w:rPr>
                <w:noProof/>
                <w:webHidden/>
              </w:rPr>
              <w:tab/>
            </w:r>
            <w:r>
              <w:rPr>
                <w:noProof/>
                <w:webHidden/>
              </w:rPr>
              <w:fldChar w:fldCharType="begin"/>
            </w:r>
            <w:r>
              <w:rPr>
                <w:noProof/>
                <w:webHidden/>
              </w:rPr>
              <w:instrText xml:space="preserve"> PAGEREF _Toc22031128 \h </w:instrText>
            </w:r>
            <w:r>
              <w:rPr>
                <w:noProof/>
                <w:webHidden/>
              </w:rPr>
            </w:r>
            <w:r>
              <w:rPr>
                <w:noProof/>
                <w:webHidden/>
              </w:rPr>
              <w:fldChar w:fldCharType="separate"/>
            </w:r>
            <w:r w:rsidR="0034144A">
              <w:rPr>
                <w:noProof/>
                <w:webHidden/>
              </w:rPr>
              <w:t>12</w:t>
            </w:r>
            <w:r>
              <w:rPr>
                <w:noProof/>
                <w:webHidden/>
              </w:rPr>
              <w:fldChar w:fldCharType="end"/>
            </w:r>
          </w:hyperlink>
        </w:p>
        <w:p w14:paraId="37EA286A" w14:textId="5D67136B" w:rsidR="006A2C1B" w:rsidRDefault="006A2C1B">
          <w:pPr>
            <w:pStyle w:val="TOC2"/>
            <w:tabs>
              <w:tab w:val="right" w:leader="dot" w:pos="9350"/>
            </w:tabs>
            <w:rPr>
              <w:rFonts w:asciiTheme="minorHAnsi" w:eastAsiaTheme="minorEastAsia" w:hAnsiTheme="minorHAnsi" w:cstheme="minorBidi"/>
              <w:noProof/>
              <w:lang w:val="en-CA"/>
            </w:rPr>
          </w:pPr>
          <w:hyperlink w:anchor="_Toc22031129" w:history="1">
            <w:r w:rsidRPr="007D6A46">
              <w:rPr>
                <w:rStyle w:val="Hyperlink"/>
                <w:bCs/>
                <w:noProof/>
              </w:rPr>
              <w:t>International human rights law provides guidance as to what is reasonable in the context of the duty to accommodate Code-protected groups as required under section 11.</w:t>
            </w:r>
            <w:r>
              <w:rPr>
                <w:noProof/>
                <w:webHidden/>
              </w:rPr>
              <w:tab/>
            </w:r>
            <w:r>
              <w:rPr>
                <w:noProof/>
                <w:webHidden/>
              </w:rPr>
              <w:fldChar w:fldCharType="begin"/>
            </w:r>
            <w:r>
              <w:rPr>
                <w:noProof/>
                <w:webHidden/>
              </w:rPr>
              <w:instrText xml:space="preserve"> PAGEREF _Toc22031129 \h </w:instrText>
            </w:r>
            <w:r>
              <w:rPr>
                <w:noProof/>
                <w:webHidden/>
              </w:rPr>
            </w:r>
            <w:r>
              <w:rPr>
                <w:noProof/>
                <w:webHidden/>
              </w:rPr>
              <w:fldChar w:fldCharType="separate"/>
            </w:r>
            <w:r w:rsidR="0034144A">
              <w:rPr>
                <w:noProof/>
                <w:webHidden/>
              </w:rPr>
              <w:t>12</w:t>
            </w:r>
            <w:r>
              <w:rPr>
                <w:noProof/>
                <w:webHidden/>
              </w:rPr>
              <w:fldChar w:fldCharType="end"/>
            </w:r>
          </w:hyperlink>
        </w:p>
        <w:p w14:paraId="2D1D4CBE" w14:textId="5F29231C" w:rsidR="006A2C1B" w:rsidRDefault="006A2C1B" w:rsidP="00C0550A">
          <w:pPr>
            <w:pStyle w:val="TOC1"/>
            <w:rPr>
              <w:rFonts w:asciiTheme="minorHAnsi" w:eastAsiaTheme="minorEastAsia" w:hAnsiTheme="minorHAnsi" w:cstheme="minorBidi"/>
              <w:lang w:val="en-CA"/>
            </w:rPr>
          </w:pPr>
          <w:hyperlink w:anchor="_Toc22031130" w:history="1">
            <w:r w:rsidRPr="007D6A46">
              <w:rPr>
                <w:rStyle w:val="Hyperlink"/>
              </w:rPr>
              <w:t>3.</w:t>
            </w:r>
            <w:r>
              <w:rPr>
                <w:rFonts w:asciiTheme="minorHAnsi" w:eastAsiaTheme="minorEastAsia" w:hAnsiTheme="minorHAnsi" w:cstheme="minorBidi"/>
                <w:lang w:val="en-CA"/>
              </w:rPr>
              <w:tab/>
            </w:r>
            <w:r w:rsidRPr="007D6A46">
              <w:rPr>
                <w:rStyle w:val="Hyperlink"/>
              </w:rPr>
              <w:t>International Human Rights Law and Obligations toward Vulnerable Groups in Housing Upgrading and Development</w:t>
            </w:r>
            <w:r>
              <w:rPr>
                <w:webHidden/>
              </w:rPr>
              <w:tab/>
            </w:r>
            <w:r>
              <w:rPr>
                <w:webHidden/>
              </w:rPr>
              <w:fldChar w:fldCharType="begin"/>
            </w:r>
            <w:r>
              <w:rPr>
                <w:webHidden/>
              </w:rPr>
              <w:instrText xml:space="preserve"> PAGEREF _Toc22031130 \h </w:instrText>
            </w:r>
            <w:r>
              <w:rPr>
                <w:webHidden/>
              </w:rPr>
            </w:r>
            <w:r>
              <w:rPr>
                <w:webHidden/>
              </w:rPr>
              <w:fldChar w:fldCharType="separate"/>
            </w:r>
            <w:r w:rsidR="0034144A">
              <w:rPr>
                <w:webHidden/>
              </w:rPr>
              <w:t>13</w:t>
            </w:r>
            <w:r>
              <w:rPr>
                <w:webHidden/>
              </w:rPr>
              <w:fldChar w:fldCharType="end"/>
            </w:r>
          </w:hyperlink>
        </w:p>
        <w:p w14:paraId="5815CD85" w14:textId="2B9D1697"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31" w:history="1">
            <w:r w:rsidRPr="007D6A46">
              <w:rPr>
                <w:rStyle w:val="Hyperlink"/>
                <w:noProof/>
              </w:rPr>
              <w:t>i.</w:t>
            </w:r>
            <w:r>
              <w:rPr>
                <w:rFonts w:asciiTheme="minorHAnsi" w:eastAsiaTheme="minorEastAsia" w:hAnsiTheme="minorHAnsi" w:cstheme="minorBidi"/>
                <w:noProof/>
                <w:lang w:val="en-CA"/>
              </w:rPr>
              <w:tab/>
            </w:r>
            <w:r w:rsidRPr="007D6A46">
              <w:rPr>
                <w:rStyle w:val="Hyperlink"/>
                <w:noProof/>
              </w:rPr>
              <w:t>Prohibition of forced evictions</w:t>
            </w:r>
            <w:r>
              <w:rPr>
                <w:noProof/>
                <w:webHidden/>
              </w:rPr>
              <w:tab/>
            </w:r>
            <w:r>
              <w:rPr>
                <w:noProof/>
                <w:webHidden/>
              </w:rPr>
              <w:fldChar w:fldCharType="begin"/>
            </w:r>
            <w:r>
              <w:rPr>
                <w:noProof/>
                <w:webHidden/>
              </w:rPr>
              <w:instrText xml:space="preserve"> PAGEREF _Toc22031131 \h </w:instrText>
            </w:r>
            <w:r>
              <w:rPr>
                <w:noProof/>
                <w:webHidden/>
              </w:rPr>
            </w:r>
            <w:r>
              <w:rPr>
                <w:noProof/>
                <w:webHidden/>
              </w:rPr>
              <w:fldChar w:fldCharType="separate"/>
            </w:r>
            <w:r w:rsidR="0034144A">
              <w:rPr>
                <w:noProof/>
                <w:webHidden/>
              </w:rPr>
              <w:t>13</w:t>
            </w:r>
            <w:r>
              <w:rPr>
                <w:noProof/>
                <w:webHidden/>
              </w:rPr>
              <w:fldChar w:fldCharType="end"/>
            </w:r>
          </w:hyperlink>
        </w:p>
        <w:p w14:paraId="577A3F82" w14:textId="5AF4EAC5"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32" w:history="1">
            <w:r w:rsidRPr="007D6A46">
              <w:rPr>
                <w:rStyle w:val="Hyperlink"/>
                <w:noProof/>
              </w:rPr>
              <w:t>ii.</w:t>
            </w:r>
            <w:r>
              <w:rPr>
                <w:rFonts w:asciiTheme="minorHAnsi" w:eastAsiaTheme="minorEastAsia" w:hAnsiTheme="minorHAnsi" w:cstheme="minorBidi"/>
                <w:noProof/>
                <w:lang w:val="en-CA"/>
              </w:rPr>
              <w:tab/>
            </w:r>
            <w:r w:rsidRPr="007D6A46">
              <w:rPr>
                <w:rStyle w:val="Hyperlink"/>
                <w:noProof/>
              </w:rPr>
              <w:t>Procedural and substantive obligations toward vulnerable groups</w:t>
            </w:r>
            <w:r>
              <w:rPr>
                <w:noProof/>
                <w:webHidden/>
              </w:rPr>
              <w:tab/>
            </w:r>
            <w:r>
              <w:rPr>
                <w:noProof/>
                <w:webHidden/>
              </w:rPr>
              <w:fldChar w:fldCharType="begin"/>
            </w:r>
            <w:r>
              <w:rPr>
                <w:noProof/>
                <w:webHidden/>
              </w:rPr>
              <w:instrText xml:space="preserve"> PAGEREF _Toc22031132 \h </w:instrText>
            </w:r>
            <w:r>
              <w:rPr>
                <w:noProof/>
                <w:webHidden/>
              </w:rPr>
            </w:r>
            <w:r>
              <w:rPr>
                <w:noProof/>
                <w:webHidden/>
              </w:rPr>
              <w:fldChar w:fldCharType="separate"/>
            </w:r>
            <w:r w:rsidR="0034144A">
              <w:rPr>
                <w:noProof/>
                <w:webHidden/>
              </w:rPr>
              <w:t>15</w:t>
            </w:r>
            <w:r>
              <w:rPr>
                <w:noProof/>
                <w:webHidden/>
              </w:rPr>
              <w:fldChar w:fldCharType="end"/>
            </w:r>
          </w:hyperlink>
        </w:p>
        <w:p w14:paraId="07E3300D" w14:textId="146F270B" w:rsidR="006A2C1B" w:rsidRDefault="006A2C1B" w:rsidP="00C0550A">
          <w:pPr>
            <w:pStyle w:val="TOC1"/>
            <w:rPr>
              <w:rFonts w:asciiTheme="minorHAnsi" w:eastAsiaTheme="minorEastAsia" w:hAnsiTheme="minorHAnsi" w:cstheme="minorBidi"/>
              <w:lang w:val="en-CA"/>
            </w:rPr>
          </w:pPr>
          <w:hyperlink w:anchor="_Toc22031133" w:history="1">
            <w:r w:rsidRPr="007D6A46">
              <w:rPr>
                <w:rStyle w:val="Hyperlink"/>
              </w:rPr>
              <w:t>4.</w:t>
            </w:r>
            <w:r>
              <w:rPr>
                <w:rFonts w:asciiTheme="minorHAnsi" w:eastAsiaTheme="minorEastAsia" w:hAnsiTheme="minorHAnsi" w:cstheme="minorBidi"/>
                <w:lang w:val="en-CA"/>
              </w:rPr>
              <w:tab/>
            </w:r>
            <w:r w:rsidRPr="007D6A46">
              <w:rPr>
                <w:rStyle w:val="Hyperlink"/>
              </w:rPr>
              <w:t>Key Components of the Duty to Accommodate Vulnerable Groups Affected by Development-based Eviction or Displacement</w:t>
            </w:r>
            <w:r>
              <w:rPr>
                <w:webHidden/>
              </w:rPr>
              <w:tab/>
            </w:r>
            <w:r>
              <w:rPr>
                <w:webHidden/>
              </w:rPr>
              <w:fldChar w:fldCharType="begin"/>
            </w:r>
            <w:r>
              <w:rPr>
                <w:webHidden/>
              </w:rPr>
              <w:instrText xml:space="preserve"> PAGEREF _Toc22031133 \h </w:instrText>
            </w:r>
            <w:r>
              <w:rPr>
                <w:webHidden/>
              </w:rPr>
            </w:r>
            <w:r>
              <w:rPr>
                <w:webHidden/>
              </w:rPr>
              <w:fldChar w:fldCharType="separate"/>
            </w:r>
            <w:r w:rsidR="0034144A">
              <w:rPr>
                <w:webHidden/>
              </w:rPr>
              <w:t>17</w:t>
            </w:r>
            <w:r>
              <w:rPr>
                <w:webHidden/>
              </w:rPr>
              <w:fldChar w:fldCharType="end"/>
            </w:r>
          </w:hyperlink>
        </w:p>
        <w:p w14:paraId="31B723B0" w14:textId="45652A14"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34" w:history="1">
            <w:r w:rsidRPr="007D6A46">
              <w:rPr>
                <w:rStyle w:val="Hyperlink"/>
                <w:noProof/>
              </w:rPr>
              <w:t>i.</w:t>
            </w:r>
            <w:r>
              <w:rPr>
                <w:rFonts w:asciiTheme="minorHAnsi" w:eastAsiaTheme="minorEastAsia" w:hAnsiTheme="minorHAnsi" w:cstheme="minorBidi"/>
                <w:noProof/>
                <w:lang w:val="en-CA"/>
              </w:rPr>
              <w:tab/>
            </w:r>
            <w:r w:rsidRPr="007D6A46">
              <w:rPr>
                <w:rStyle w:val="Hyperlink"/>
                <w:noProof/>
              </w:rPr>
              <w:t>In situ upgrading</w:t>
            </w:r>
            <w:r>
              <w:rPr>
                <w:noProof/>
                <w:webHidden/>
              </w:rPr>
              <w:tab/>
            </w:r>
            <w:r>
              <w:rPr>
                <w:noProof/>
                <w:webHidden/>
              </w:rPr>
              <w:fldChar w:fldCharType="begin"/>
            </w:r>
            <w:r>
              <w:rPr>
                <w:noProof/>
                <w:webHidden/>
              </w:rPr>
              <w:instrText xml:space="preserve"> PAGEREF _Toc22031134 \h </w:instrText>
            </w:r>
            <w:r>
              <w:rPr>
                <w:noProof/>
                <w:webHidden/>
              </w:rPr>
            </w:r>
            <w:r>
              <w:rPr>
                <w:noProof/>
                <w:webHidden/>
              </w:rPr>
              <w:fldChar w:fldCharType="separate"/>
            </w:r>
            <w:r w:rsidR="0034144A">
              <w:rPr>
                <w:noProof/>
                <w:webHidden/>
              </w:rPr>
              <w:t>17</w:t>
            </w:r>
            <w:r>
              <w:rPr>
                <w:noProof/>
                <w:webHidden/>
              </w:rPr>
              <w:fldChar w:fldCharType="end"/>
            </w:r>
          </w:hyperlink>
        </w:p>
        <w:p w14:paraId="59E0DCEB" w14:textId="4B9CC669"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35" w:history="1">
            <w:r w:rsidRPr="007D6A46">
              <w:rPr>
                <w:rStyle w:val="Hyperlink"/>
                <w:noProof/>
              </w:rPr>
              <w:t>ii.</w:t>
            </w:r>
            <w:r>
              <w:rPr>
                <w:rFonts w:asciiTheme="minorHAnsi" w:eastAsiaTheme="minorEastAsia" w:hAnsiTheme="minorHAnsi" w:cstheme="minorBidi"/>
                <w:noProof/>
                <w:lang w:val="en-CA"/>
              </w:rPr>
              <w:tab/>
            </w:r>
            <w:r w:rsidRPr="007D6A46">
              <w:rPr>
                <w:rStyle w:val="Hyperlink"/>
                <w:noProof/>
              </w:rPr>
              <w:t>Meaningful participation, engagement and inclusion in decision-making</w:t>
            </w:r>
            <w:r>
              <w:rPr>
                <w:noProof/>
                <w:webHidden/>
              </w:rPr>
              <w:tab/>
            </w:r>
            <w:r>
              <w:rPr>
                <w:noProof/>
                <w:webHidden/>
              </w:rPr>
              <w:fldChar w:fldCharType="begin"/>
            </w:r>
            <w:r>
              <w:rPr>
                <w:noProof/>
                <w:webHidden/>
              </w:rPr>
              <w:instrText xml:space="preserve"> PAGEREF _Toc22031135 \h </w:instrText>
            </w:r>
            <w:r>
              <w:rPr>
                <w:noProof/>
                <w:webHidden/>
              </w:rPr>
            </w:r>
            <w:r>
              <w:rPr>
                <w:noProof/>
                <w:webHidden/>
              </w:rPr>
              <w:fldChar w:fldCharType="separate"/>
            </w:r>
            <w:r w:rsidR="0034144A">
              <w:rPr>
                <w:noProof/>
                <w:webHidden/>
              </w:rPr>
              <w:t>18</w:t>
            </w:r>
            <w:r>
              <w:rPr>
                <w:noProof/>
                <w:webHidden/>
              </w:rPr>
              <w:fldChar w:fldCharType="end"/>
            </w:r>
          </w:hyperlink>
        </w:p>
        <w:p w14:paraId="2288163D" w14:textId="0AAD1891"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36" w:history="1">
            <w:r w:rsidRPr="007D6A46">
              <w:rPr>
                <w:rStyle w:val="Hyperlink"/>
                <w:noProof/>
              </w:rPr>
              <w:t>iii.</w:t>
            </w:r>
            <w:r>
              <w:rPr>
                <w:rFonts w:asciiTheme="minorHAnsi" w:eastAsiaTheme="minorEastAsia" w:hAnsiTheme="minorHAnsi" w:cstheme="minorBidi"/>
                <w:noProof/>
                <w:lang w:val="en-CA"/>
              </w:rPr>
              <w:tab/>
            </w:r>
            <w:r w:rsidRPr="007D6A46">
              <w:rPr>
                <w:rStyle w:val="Hyperlink"/>
                <w:noProof/>
              </w:rPr>
              <w:t>Culturally appropriate, community preservation and informal supports</w:t>
            </w:r>
            <w:r>
              <w:rPr>
                <w:noProof/>
                <w:webHidden/>
              </w:rPr>
              <w:tab/>
            </w:r>
            <w:r>
              <w:rPr>
                <w:noProof/>
                <w:webHidden/>
              </w:rPr>
              <w:fldChar w:fldCharType="begin"/>
            </w:r>
            <w:r>
              <w:rPr>
                <w:noProof/>
                <w:webHidden/>
              </w:rPr>
              <w:instrText xml:space="preserve"> PAGEREF _Toc22031136 \h </w:instrText>
            </w:r>
            <w:r>
              <w:rPr>
                <w:noProof/>
                <w:webHidden/>
              </w:rPr>
            </w:r>
            <w:r>
              <w:rPr>
                <w:noProof/>
                <w:webHidden/>
              </w:rPr>
              <w:fldChar w:fldCharType="separate"/>
            </w:r>
            <w:r w:rsidR="0034144A">
              <w:rPr>
                <w:noProof/>
                <w:webHidden/>
              </w:rPr>
              <w:t>19</w:t>
            </w:r>
            <w:r>
              <w:rPr>
                <w:noProof/>
                <w:webHidden/>
              </w:rPr>
              <w:fldChar w:fldCharType="end"/>
            </w:r>
          </w:hyperlink>
        </w:p>
        <w:p w14:paraId="59C9E718" w14:textId="25944E58"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37" w:history="1">
            <w:r w:rsidRPr="007D6A46">
              <w:rPr>
                <w:rStyle w:val="Hyperlink"/>
                <w:noProof/>
              </w:rPr>
              <w:t>iv.</w:t>
            </w:r>
            <w:r>
              <w:rPr>
                <w:rFonts w:asciiTheme="minorHAnsi" w:eastAsiaTheme="minorEastAsia" w:hAnsiTheme="minorHAnsi" w:cstheme="minorBidi"/>
                <w:noProof/>
                <w:lang w:val="en-CA"/>
              </w:rPr>
              <w:tab/>
            </w:r>
            <w:r w:rsidRPr="007D6A46">
              <w:rPr>
                <w:rStyle w:val="Hyperlink"/>
                <w:noProof/>
              </w:rPr>
              <w:t>Relocation only where necessary or chosen by residents, to adequate alternative accommodation and a right to return</w:t>
            </w:r>
            <w:r>
              <w:rPr>
                <w:noProof/>
                <w:webHidden/>
              </w:rPr>
              <w:tab/>
            </w:r>
            <w:r>
              <w:rPr>
                <w:noProof/>
                <w:webHidden/>
              </w:rPr>
              <w:fldChar w:fldCharType="begin"/>
            </w:r>
            <w:r>
              <w:rPr>
                <w:noProof/>
                <w:webHidden/>
              </w:rPr>
              <w:instrText xml:space="preserve"> PAGEREF _Toc22031137 \h </w:instrText>
            </w:r>
            <w:r>
              <w:rPr>
                <w:noProof/>
                <w:webHidden/>
              </w:rPr>
            </w:r>
            <w:r>
              <w:rPr>
                <w:noProof/>
                <w:webHidden/>
              </w:rPr>
              <w:fldChar w:fldCharType="separate"/>
            </w:r>
            <w:r w:rsidR="0034144A">
              <w:rPr>
                <w:noProof/>
                <w:webHidden/>
              </w:rPr>
              <w:t>20</w:t>
            </w:r>
            <w:r>
              <w:rPr>
                <w:noProof/>
                <w:webHidden/>
              </w:rPr>
              <w:fldChar w:fldCharType="end"/>
            </w:r>
          </w:hyperlink>
        </w:p>
        <w:p w14:paraId="31B361C1" w14:textId="0026EF16" w:rsidR="006A2C1B" w:rsidRDefault="006A2C1B">
          <w:pPr>
            <w:pStyle w:val="TOC2"/>
            <w:tabs>
              <w:tab w:val="left" w:pos="660"/>
              <w:tab w:val="right" w:leader="dot" w:pos="9350"/>
            </w:tabs>
            <w:rPr>
              <w:rFonts w:asciiTheme="minorHAnsi" w:eastAsiaTheme="minorEastAsia" w:hAnsiTheme="minorHAnsi" w:cstheme="minorBidi"/>
              <w:noProof/>
              <w:lang w:val="en-CA"/>
            </w:rPr>
          </w:pPr>
          <w:hyperlink w:anchor="_Toc22031138" w:history="1">
            <w:r w:rsidRPr="007D6A46">
              <w:rPr>
                <w:rStyle w:val="Hyperlink"/>
                <w:noProof/>
              </w:rPr>
              <w:t>v.</w:t>
            </w:r>
            <w:r>
              <w:rPr>
                <w:rFonts w:asciiTheme="minorHAnsi" w:eastAsiaTheme="minorEastAsia" w:hAnsiTheme="minorHAnsi" w:cstheme="minorBidi"/>
                <w:noProof/>
                <w:lang w:val="en-CA"/>
              </w:rPr>
              <w:tab/>
            </w:r>
            <w:r w:rsidRPr="007D6A46">
              <w:rPr>
                <w:rStyle w:val="Hyperlink"/>
                <w:noProof/>
              </w:rPr>
              <w:t>Right to Compensation</w:t>
            </w:r>
            <w:r>
              <w:rPr>
                <w:noProof/>
                <w:webHidden/>
              </w:rPr>
              <w:tab/>
            </w:r>
            <w:r>
              <w:rPr>
                <w:noProof/>
                <w:webHidden/>
              </w:rPr>
              <w:fldChar w:fldCharType="begin"/>
            </w:r>
            <w:r>
              <w:rPr>
                <w:noProof/>
                <w:webHidden/>
              </w:rPr>
              <w:instrText xml:space="preserve"> PAGEREF _Toc22031138 \h </w:instrText>
            </w:r>
            <w:r>
              <w:rPr>
                <w:noProof/>
                <w:webHidden/>
              </w:rPr>
            </w:r>
            <w:r>
              <w:rPr>
                <w:noProof/>
                <w:webHidden/>
              </w:rPr>
              <w:fldChar w:fldCharType="separate"/>
            </w:r>
            <w:r w:rsidR="0034144A">
              <w:rPr>
                <w:noProof/>
                <w:webHidden/>
              </w:rPr>
              <w:t>21</w:t>
            </w:r>
            <w:r>
              <w:rPr>
                <w:noProof/>
                <w:webHidden/>
              </w:rPr>
              <w:fldChar w:fldCharType="end"/>
            </w:r>
          </w:hyperlink>
        </w:p>
        <w:p w14:paraId="49BA0161" w14:textId="7B887163" w:rsidR="006A2C1B" w:rsidRDefault="006A2C1B" w:rsidP="00C0550A">
          <w:pPr>
            <w:pStyle w:val="TOC1"/>
            <w:rPr>
              <w:rFonts w:asciiTheme="minorHAnsi" w:eastAsiaTheme="minorEastAsia" w:hAnsiTheme="minorHAnsi" w:cstheme="minorBidi"/>
              <w:lang w:val="en-CA"/>
            </w:rPr>
          </w:pPr>
          <w:hyperlink w:anchor="_Toc22031139" w:history="1">
            <w:r w:rsidRPr="007D6A46">
              <w:rPr>
                <w:rStyle w:val="Hyperlink"/>
              </w:rPr>
              <w:t>5.</w:t>
            </w:r>
            <w:r>
              <w:rPr>
                <w:rFonts w:asciiTheme="minorHAnsi" w:eastAsiaTheme="minorEastAsia" w:hAnsiTheme="minorHAnsi" w:cstheme="minorBidi"/>
                <w:lang w:val="en-CA"/>
              </w:rPr>
              <w:tab/>
            </w:r>
            <w:r w:rsidRPr="007D6A46">
              <w:rPr>
                <w:rStyle w:val="Hyperlink"/>
              </w:rPr>
              <w:t>Conclusion</w:t>
            </w:r>
            <w:r>
              <w:rPr>
                <w:webHidden/>
              </w:rPr>
              <w:tab/>
            </w:r>
            <w:r>
              <w:rPr>
                <w:webHidden/>
              </w:rPr>
              <w:fldChar w:fldCharType="begin"/>
            </w:r>
            <w:r>
              <w:rPr>
                <w:webHidden/>
              </w:rPr>
              <w:instrText xml:space="preserve"> PAGEREF _Toc22031139 \h </w:instrText>
            </w:r>
            <w:r>
              <w:rPr>
                <w:webHidden/>
              </w:rPr>
            </w:r>
            <w:r>
              <w:rPr>
                <w:webHidden/>
              </w:rPr>
              <w:fldChar w:fldCharType="separate"/>
            </w:r>
            <w:r w:rsidR="0034144A">
              <w:rPr>
                <w:webHidden/>
              </w:rPr>
              <w:t>21</w:t>
            </w:r>
            <w:r>
              <w:rPr>
                <w:webHidden/>
              </w:rPr>
              <w:fldChar w:fldCharType="end"/>
            </w:r>
          </w:hyperlink>
        </w:p>
        <w:p w14:paraId="65C784A1" w14:textId="414D195A" w:rsidR="006A2C1B" w:rsidRDefault="006A2C1B">
          <w:r>
            <w:rPr>
              <w:b/>
              <w:bCs/>
              <w:noProof/>
            </w:rPr>
            <w:fldChar w:fldCharType="end"/>
          </w:r>
        </w:p>
      </w:sdtContent>
    </w:sdt>
    <w:p w14:paraId="1C687AFB" w14:textId="17C87EF2" w:rsidR="00A04000" w:rsidRDefault="00A04000"/>
    <w:p w14:paraId="6F429E29" w14:textId="77777777" w:rsidR="00A04000" w:rsidRDefault="00BC2D96">
      <w:pPr>
        <w:rPr>
          <w:rFonts w:ascii="Times New Roman" w:eastAsia="Times New Roman" w:hAnsi="Times New Roman" w:cs="Times New Roman"/>
          <w:sz w:val="28"/>
          <w:szCs w:val="28"/>
        </w:rPr>
      </w:pPr>
      <w:r>
        <w:br w:type="page"/>
      </w:r>
    </w:p>
    <w:p w14:paraId="69BA86D3" w14:textId="72C5CB19" w:rsidR="00A04000" w:rsidRDefault="00BC2D96" w:rsidP="006A2C1B">
      <w:pPr>
        <w:pStyle w:val="Heading1"/>
        <w:numPr>
          <w:ilvl w:val="0"/>
          <w:numId w:val="6"/>
        </w:numPr>
      </w:pPr>
      <w:bookmarkStart w:id="0" w:name="_Toc22031117"/>
      <w:r>
        <w:lastRenderedPageBreak/>
        <w:t>The Duty to Accommodate Code-protected Groups in Housing Upgrading and Development Projects</w:t>
      </w:r>
      <w:bookmarkEnd w:id="0"/>
    </w:p>
    <w:p w14:paraId="33D33747" w14:textId="77A5F15A" w:rsidR="00A04000" w:rsidRDefault="006560A2">
      <w:pPr>
        <w:shd w:val="clear" w:color="auto" w:fill="FFFFFF"/>
        <w:spacing w:line="240" w:lineRule="auto"/>
      </w:pPr>
      <w:r>
        <w:t>This paper</w:t>
      </w:r>
      <w:r w:rsidR="00BC2D96">
        <w:t xml:space="preserve"> consider</w:t>
      </w:r>
      <w:r>
        <w:t>s</w:t>
      </w:r>
      <w:r w:rsidR="00BC2D96">
        <w:t xml:space="preserve"> the application of section 11</w:t>
      </w:r>
      <w:r w:rsidR="00064723">
        <w:t xml:space="preserve"> </w:t>
      </w:r>
      <w:r w:rsidR="00BC2D96">
        <w:t xml:space="preserve">of the Ontario </w:t>
      </w:r>
      <w:r w:rsidR="00BC2D96" w:rsidRPr="00064723">
        <w:rPr>
          <w:i/>
          <w:iCs/>
        </w:rPr>
        <w:t>Human Rights Code</w:t>
      </w:r>
      <w:r w:rsidR="00BC2D96">
        <w:t xml:space="preserve"> (“the  Code”) to circumstances such as those in the Herongate community in Ottawa, where the demolition, development, upgrading or intensification of existing low rent, substandard residential accommodation threatens to adversely affect groups identified by prohibited grounds of discrimination in housing (“Code-protected groups”). </w:t>
      </w:r>
      <w:r>
        <w:t>This paper</w:t>
      </w:r>
      <w:r w:rsidR="00BC2D96">
        <w:t xml:space="preserve"> also consider</w:t>
      </w:r>
      <w:r>
        <w:t>s</w:t>
      </w:r>
      <w:r w:rsidR="00BC2D96">
        <w:t xml:space="preserve"> the general obligations imposed by the Code on both municipalities and developers in the context of upgrading or development of substandard, lower rent accommodation.</w:t>
      </w:r>
      <w:r w:rsidR="00BC2D96">
        <w:rPr>
          <w:vertAlign w:val="superscript"/>
        </w:rPr>
        <w:footnoteReference w:id="1"/>
      </w:r>
    </w:p>
    <w:p w14:paraId="15A77351" w14:textId="3C78466D" w:rsidR="00A04000" w:rsidRDefault="00BC2D96" w:rsidP="006A2C1B">
      <w:pPr>
        <w:pStyle w:val="Heading2"/>
        <w:numPr>
          <w:ilvl w:val="0"/>
          <w:numId w:val="7"/>
        </w:numPr>
      </w:pPr>
      <w:bookmarkStart w:id="1" w:name="_30j0zll" w:colFirst="0" w:colLast="0"/>
      <w:bookmarkStart w:id="2" w:name="_1fob9te" w:colFirst="0" w:colLast="0"/>
      <w:bookmarkStart w:id="3" w:name="_Toc22031118"/>
      <w:bookmarkEnd w:id="1"/>
      <w:bookmarkEnd w:id="2"/>
      <w:r>
        <w:t xml:space="preserve">Adverse </w:t>
      </w:r>
      <w:r w:rsidR="00154841">
        <w:t>e</w:t>
      </w:r>
      <w:r>
        <w:t xml:space="preserve">ffect </w:t>
      </w:r>
      <w:r w:rsidR="00154841">
        <w:t>d</w:t>
      </w:r>
      <w:r>
        <w:t>iscrimination</w:t>
      </w:r>
      <w:r w:rsidR="00F23300">
        <w:t xml:space="preserve"> </w:t>
      </w:r>
      <w:r w:rsidR="00DA23F0">
        <w:t xml:space="preserve">in housing upgrading and development </w:t>
      </w:r>
      <w:r w:rsidR="00F23300">
        <w:t>under the Code</w:t>
      </w:r>
      <w:bookmarkEnd w:id="3"/>
    </w:p>
    <w:p w14:paraId="53FF997B" w14:textId="6236BED2" w:rsidR="00A04000"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Section 11 of the Code describes the basis for finding ‘adverse effect’ or ‘constructive’ discrimination:</w:t>
      </w:r>
    </w:p>
    <w:p w14:paraId="0FAFE039" w14:textId="77777777" w:rsidR="00A04000" w:rsidRDefault="00BC2D96" w:rsidP="003D2B99">
      <w:pPr>
        <w:pBdr>
          <w:top w:val="nil"/>
          <w:left w:val="nil"/>
          <w:bottom w:val="nil"/>
          <w:right w:val="nil"/>
          <w:between w:val="nil"/>
        </w:pBdr>
        <w:shd w:val="clear" w:color="auto" w:fill="FFFFFF"/>
        <w:spacing w:line="240" w:lineRule="auto"/>
        <w:ind w:left="720"/>
        <w:rPr>
          <w:rFonts w:ascii="Times New Roman" w:eastAsia="Times New Roman" w:hAnsi="Times New Roman" w:cs="Times New Roman"/>
        </w:rPr>
      </w:pPr>
      <w:r>
        <w:rPr>
          <w:rFonts w:ascii="Times New Roman" w:eastAsia="Times New Roman" w:hAnsi="Times New Roman" w:cs="Times New Roman"/>
        </w:rPr>
        <w:t xml:space="preserve">11 (1)  A right of a person under Part I is infringed where a requirement, qualification or factor exists that is not discrimination on a prohibited ground but that results in the exclusion, restriction or preference of a group of persons who are identified by a prohibited ground of discrimination and of whom the person is a member, except where, </w:t>
      </w:r>
    </w:p>
    <w:p w14:paraId="6939AAB2" w14:textId="77777777" w:rsidR="00A04000" w:rsidRDefault="00BC2D96" w:rsidP="003D2B99">
      <w:pPr>
        <w:pBdr>
          <w:top w:val="nil"/>
          <w:left w:val="nil"/>
          <w:bottom w:val="nil"/>
          <w:right w:val="nil"/>
          <w:between w:val="nil"/>
        </w:pBdr>
        <w:spacing w:line="240" w:lineRule="auto"/>
        <w:ind w:left="720"/>
        <w:rPr>
          <w:rFonts w:ascii="Times New Roman" w:eastAsia="Times New Roman" w:hAnsi="Times New Roman" w:cs="Times New Roman"/>
        </w:rPr>
      </w:pPr>
      <w:r>
        <w:rPr>
          <w:rFonts w:ascii="Times New Roman" w:eastAsia="Times New Roman" w:hAnsi="Times New Roman" w:cs="Times New Roman"/>
        </w:rPr>
        <w:t>(a) the requirement, qualification or factor is reasonable and </w:t>
      </w:r>
      <w:r>
        <w:rPr>
          <w:rFonts w:ascii="Times New Roman" w:eastAsia="Times New Roman" w:hAnsi="Times New Roman" w:cs="Times New Roman"/>
          <w:i/>
        </w:rPr>
        <w:t>bona fide</w:t>
      </w:r>
      <w:r>
        <w:rPr>
          <w:rFonts w:ascii="Times New Roman" w:eastAsia="Times New Roman" w:hAnsi="Times New Roman" w:cs="Times New Roman"/>
        </w:rPr>
        <w:t> in the circumstances; or</w:t>
      </w:r>
    </w:p>
    <w:p w14:paraId="64564D26" w14:textId="77777777" w:rsidR="00A04000" w:rsidRDefault="00BC2D96" w:rsidP="003D2B99">
      <w:pPr>
        <w:pBdr>
          <w:top w:val="nil"/>
          <w:left w:val="nil"/>
          <w:bottom w:val="nil"/>
          <w:right w:val="nil"/>
          <w:between w:val="nil"/>
        </w:pBdr>
        <w:spacing w:line="240" w:lineRule="auto"/>
        <w:ind w:left="720"/>
        <w:rPr>
          <w:rFonts w:ascii="Times New Roman" w:eastAsia="Times New Roman" w:hAnsi="Times New Roman" w:cs="Times New Roman"/>
        </w:rPr>
      </w:pPr>
      <w:r>
        <w:rPr>
          <w:rFonts w:ascii="Times New Roman" w:eastAsia="Times New Roman" w:hAnsi="Times New Roman" w:cs="Times New Roman"/>
        </w:rPr>
        <w:t>(b) it is declared in this Act, other than in section 17, that to discriminate because of such ground is not an infringement of a right.  R.S.O. 1990, c. H.19, s. 11 (1).</w:t>
      </w:r>
    </w:p>
    <w:p w14:paraId="5DDA8684" w14:textId="77777777" w:rsidR="00A04000" w:rsidRDefault="00BC2D96">
      <w:pPr>
        <w:pBdr>
          <w:top w:val="nil"/>
          <w:left w:val="nil"/>
          <w:bottom w:val="nil"/>
          <w:right w:val="nil"/>
          <w:between w:val="nil"/>
        </w:pBdr>
        <w:spacing w:line="240" w:lineRule="auto"/>
        <w:ind w:left="720"/>
        <w:rPr>
          <w:rFonts w:ascii="Times New Roman" w:eastAsia="Times New Roman" w:hAnsi="Times New Roman" w:cs="Times New Roman"/>
        </w:rPr>
      </w:pPr>
      <w:r>
        <w:rPr>
          <w:rFonts w:ascii="Times New Roman" w:eastAsia="Times New Roman" w:hAnsi="Times New Roman" w:cs="Times New Roman"/>
        </w:rPr>
        <w:t>(2) The Tribunal or a court shall not find that a requirement, qualification or factor is reasonable and </w:t>
      </w:r>
      <w:r>
        <w:rPr>
          <w:rFonts w:ascii="Times New Roman" w:eastAsia="Times New Roman" w:hAnsi="Times New Roman" w:cs="Times New Roman"/>
          <w:i/>
        </w:rPr>
        <w:t>bona fide</w:t>
      </w:r>
      <w:r>
        <w:rPr>
          <w:rFonts w:ascii="Times New Roman" w:eastAsia="Times New Roman" w:hAnsi="Times New Roman" w:cs="Times New Roman"/>
        </w:rPr>
        <w:t> in the circumstances unless it is satisfied that the needs of the group of which the person is a member cannot be accommodated without undue hardship on the person responsible for accommodating those needs, considering the cost, outside sources of funding, if any, and health and safety requirements, if any.  R.S.O. 1990, c. H.19, s. 11 (2); 1994, c. 27, s. 65 (1); 2002, c. 18, Sched. C, s. 2 (1); 2009, c. 33, Sched. 2, s. 35</w:t>
      </w:r>
    </w:p>
    <w:p w14:paraId="4F4FDAB1" w14:textId="5CFCC116" w:rsidR="00A04000" w:rsidRDefault="00C27DAD">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BC2D96">
        <w:rPr>
          <w:rFonts w:ascii="Times New Roman" w:eastAsia="Times New Roman" w:hAnsi="Times New Roman" w:cs="Times New Roman"/>
          <w:sz w:val="24"/>
          <w:szCs w:val="24"/>
        </w:rPr>
        <w:t>he adverse effect</w:t>
      </w:r>
      <w:r>
        <w:rPr>
          <w:rFonts w:ascii="Times New Roman" w:eastAsia="Times New Roman" w:hAnsi="Times New Roman" w:cs="Times New Roman"/>
          <w:sz w:val="24"/>
          <w:szCs w:val="24"/>
        </w:rPr>
        <w:t xml:space="preserve"> of upgrading and development projects in lower-rent substandard housing communities </w:t>
      </w:r>
      <w:r w:rsidR="00FE1987">
        <w:rPr>
          <w:rFonts w:ascii="Times New Roman" w:eastAsia="Times New Roman" w:hAnsi="Times New Roman" w:cs="Times New Roman"/>
          <w:sz w:val="24"/>
          <w:szCs w:val="24"/>
        </w:rPr>
        <w:t>manifests in three ways.</w:t>
      </w:r>
      <w:r w:rsidR="00BC2D96">
        <w:rPr>
          <w:rFonts w:ascii="Times New Roman" w:eastAsia="Times New Roman" w:hAnsi="Times New Roman" w:cs="Times New Roman"/>
          <w:sz w:val="24"/>
          <w:szCs w:val="24"/>
        </w:rPr>
        <w:t xml:space="preserve"> First, members of Code-protected groups are overrepresented among current residents of low-rent substandard rental housing in Ontario and are therefore disproportionately impacted by eviction or displacement for upgrading or development. Second, Code-protected groups face widespread discrimination in the rental market and will have more difficulty securing alternative, affordable housing than others if they are evicted from communities without appropriate measures being taken to ensure access to alternative housing. And third, the effects of eviction and displacement from existing communities are more severe for Code-protected groups because they rely on these neighbourhoods, however sub-standard and in need of repair they may be, as communities or “enclaves” through which they benefit from informal supports and services. Single mothers, for example, may benefit from informal childcare, newcomers may benefit from assistance with </w:t>
      </w:r>
      <w:r w:rsidR="00BC2D96">
        <w:rPr>
          <w:rFonts w:ascii="Times New Roman" w:eastAsia="Times New Roman" w:hAnsi="Times New Roman" w:cs="Times New Roman"/>
          <w:sz w:val="24"/>
          <w:szCs w:val="24"/>
        </w:rPr>
        <w:lastRenderedPageBreak/>
        <w:t xml:space="preserve">communication from others who speak their language, and religious minorities may benefit from shared religious and cultural centres and activities.   </w:t>
      </w:r>
    </w:p>
    <w:p w14:paraId="2AF5F43A" w14:textId="678858EF" w:rsidR="00F23300" w:rsidRDefault="00F23300">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sidRPr="00803EC0">
        <w:rPr>
          <w:rFonts w:ascii="Times New Roman" w:eastAsia="Times New Roman" w:hAnsi="Times New Roman" w:cs="Times New Roman"/>
          <w:sz w:val="24"/>
          <w:szCs w:val="24"/>
        </w:rPr>
        <w:t xml:space="preserve">In short, both systemic patterns of discrimination and the informal </w:t>
      </w:r>
      <w:r w:rsidR="008C52D6" w:rsidRPr="00803EC0">
        <w:rPr>
          <w:rFonts w:ascii="Times New Roman" w:eastAsia="Times New Roman" w:hAnsi="Times New Roman" w:cs="Times New Roman"/>
          <w:sz w:val="24"/>
          <w:szCs w:val="24"/>
        </w:rPr>
        <w:t xml:space="preserve">networks of </w:t>
      </w:r>
      <w:r w:rsidRPr="00803EC0">
        <w:rPr>
          <w:rFonts w:ascii="Times New Roman" w:eastAsia="Times New Roman" w:hAnsi="Times New Roman" w:cs="Times New Roman"/>
          <w:sz w:val="24"/>
          <w:szCs w:val="24"/>
        </w:rPr>
        <w:t>support</w:t>
      </w:r>
      <w:r w:rsidR="008C52D6" w:rsidRPr="00803EC0">
        <w:rPr>
          <w:rFonts w:ascii="Times New Roman" w:eastAsia="Times New Roman" w:hAnsi="Times New Roman" w:cs="Times New Roman"/>
          <w:sz w:val="24"/>
          <w:szCs w:val="24"/>
        </w:rPr>
        <w:t xml:space="preserve"> </w:t>
      </w:r>
      <w:r w:rsidR="00404AF2" w:rsidRPr="00803EC0">
        <w:rPr>
          <w:rFonts w:ascii="Times New Roman" w:eastAsia="Times New Roman" w:hAnsi="Times New Roman" w:cs="Times New Roman"/>
          <w:sz w:val="24"/>
          <w:szCs w:val="24"/>
        </w:rPr>
        <w:t xml:space="preserve">that characterize communities </w:t>
      </w:r>
      <w:r w:rsidR="004B330E" w:rsidRPr="00803EC0">
        <w:rPr>
          <w:rFonts w:ascii="Times New Roman" w:eastAsia="Times New Roman" w:hAnsi="Times New Roman" w:cs="Times New Roman"/>
          <w:sz w:val="24"/>
          <w:szCs w:val="24"/>
        </w:rPr>
        <w:t xml:space="preserve">living </w:t>
      </w:r>
      <w:r w:rsidR="003D5BAD" w:rsidRPr="00803EC0">
        <w:rPr>
          <w:rFonts w:ascii="Times New Roman" w:eastAsia="Times New Roman" w:hAnsi="Times New Roman" w:cs="Times New Roman"/>
          <w:sz w:val="24"/>
          <w:szCs w:val="24"/>
        </w:rPr>
        <w:t>in low-rent</w:t>
      </w:r>
      <w:r w:rsidR="00C15CEB" w:rsidRPr="00803EC0">
        <w:rPr>
          <w:rFonts w:ascii="Times New Roman" w:eastAsia="Times New Roman" w:hAnsi="Times New Roman" w:cs="Times New Roman"/>
          <w:sz w:val="24"/>
          <w:szCs w:val="24"/>
        </w:rPr>
        <w:t>,</w:t>
      </w:r>
      <w:r w:rsidR="003D5BAD" w:rsidRPr="00803EC0">
        <w:rPr>
          <w:rFonts w:ascii="Times New Roman" w:eastAsia="Times New Roman" w:hAnsi="Times New Roman" w:cs="Times New Roman"/>
          <w:sz w:val="24"/>
          <w:szCs w:val="24"/>
        </w:rPr>
        <w:t xml:space="preserve"> substandard neighbourhoods in Ontario</w:t>
      </w:r>
      <w:r w:rsidR="00404AF2" w:rsidRPr="00803EC0">
        <w:rPr>
          <w:rFonts w:ascii="Times New Roman" w:eastAsia="Times New Roman" w:hAnsi="Times New Roman" w:cs="Times New Roman"/>
          <w:sz w:val="24"/>
          <w:szCs w:val="24"/>
        </w:rPr>
        <w:t xml:space="preserve"> </w:t>
      </w:r>
      <w:r w:rsidR="00581345" w:rsidRPr="00803EC0">
        <w:rPr>
          <w:rFonts w:ascii="Times New Roman" w:eastAsia="Times New Roman" w:hAnsi="Times New Roman" w:cs="Times New Roman"/>
          <w:sz w:val="24"/>
          <w:szCs w:val="24"/>
        </w:rPr>
        <w:t>give rise to a duty to accommodate</w:t>
      </w:r>
      <w:r w:rsidR="0017277D" w:rsidRPr="00803EC0">
        <w:rPr>
          <w:rFonts w:ascii="Times New Roman" w:eastAsia="Times New Roman" w:hAnsi="Times New Roman" w:cs="Times New Roman"/>
          <w:sz w:val="24"/>
          <w:szCs w:val="24"/>
        </w:rPr>
        <w:t xml:space="preserve"> when </w:t>
      </w:r>
      <w:r w:rsidR="006D4F47" w:rsidRPr="00803EC0">
        <w:rPr>
          <w:rFonts w:ascii="Times New Roman" w:eastAsia="Times New Roman" w:hAnsi="Times New Roman" w:cs="Times New Roman"/>
          <w:sz w:val="24"/>
          <w:szCs w:val="24"/>
        </w:rPr>
        <w:t xml:space="preserve">large-scale </w:t>
      </w:r>
      <w:r w:rsidR="0017277D" w:rsidRPr="00803EC0">
        <w:rPr>
          <w:rFonts w:ascii="Times New Roman" w:eastAsia="Times New Roman" w:hAnsi="Times New Roman" w:cs="Times New Roman"/>
          <w:sz w:val="24"/>
          <w:szCs w:val="24"/>
        </w:rPr>
        <w:t>housing upgrading and development is contemplated and implemented.</w:t>
      </w:r>
    </w:p>
    <w:p w14:paraId="5934766B" w14:textId="5BF3ECB4" w:rsidR="00A04000" w:rsidRDefault="00BC2D96" w:rsidP="006A2C1B">
      <w:pPr>
        <w:pStyle w:val="Heading2"/>
        <w:numPr>
          <w:ilvl w:val="0"/>
          <w:numId w:val="7"/>
        </w:numPr>
      </w:pPr>
      <w:bookmarkStart w:id="4" w:name="_3znysh7" w:colFirst="0" w:colLast="0"/>
      <w:bookmarkStart w:id="5" w:name="_Toc22031119"/>
      <w:bookmarkEnd w:id="4"/>
      <w:r w:rsidRPr="006A2C1B">
        <w:t>General</w:t>
      </w:r>
      <w:r>
        <w:t xml:space="preserve"> obligations of municipalities and developers in light of systemic patterns affecting Code-protected groups in rental housing</w:t>
      </w:r>
      <w:bookmarkEnd w:id="5"/>
      <w:r>
        <w:t xml:space="preserve"> </w:t>
      </w:r>
    </w:p>
    <w:p w14:paraId="3D94C889" w14:textId="77777777" w:rsidR="00955B62" w:rsidRDefault="00955B62">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sidRPr="0054487A">
        <w:rPr>
          <w:rFonts w:ascii="Times New Roman" w:eastAsia="Times New Roman" w:hAnsi="Times New Roman" w:cs="Times New Roman"/>
          <w:sz w:val="24"/>
          <w:szCs w:val="24"/>
        </w:rPr>
        <w:t>At a</w:t>
      </w:r>
      <w:r>
        <w:rPr>
          <w:rFonts w:ascii="Times New Roman" w:eastAsia="Times New Roman" w:hAnsi="Times New Roman" w:cs="Times New Roman"/>
          <w:sz w:val="24"/>
          <w:szCs w:val="24"/>
        </w:rPr>
        <w:t xml:space="preserve"> time when real estate speculation and inflation has made Code-protected groups increasingly vulnerable to systemic discrimination and homelessness,</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it is important to clarify how the Code applies to the upgrading of low rent, substandard neighbourhoods and imposes general obligations on municipalities and developers to accommodate Code-protected groups.</w:t>
      </w:r>
    </w:p>
    <w:p w14:paraId="0FD3DD06" w14:textId="3939FD30" w:rsidR="00A04000"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sidRPr="00EB754D">
        <w:rPr>
          <w:rFonts w:ascii="Times New Roman" w:eastAsia="Times New Roman" w:hAnsi="Times New Roman" w:cs="Times New Roman"/>
          <w:sz w:val="24"/>
          <w:szCs w:val="24"/>
        </w:rPr>
        <w:t>T</w:t>
      </w:r>
      <w:r>
        <w:rPr>
          <w:rFonts w:ascii="Times New Roman" w:eastAsia="Times New Roman" w:hAnsi="Times New Roman" w:cs="Times New Roman"/>
          <w:sz w:val="24"/>
          <w:szCs w:val="24"/>
        </w:rPr>
        <w:t>he situation facing members of Code-protected groups in need of rental housing in Ontario is bleak. Surveys of average rents of apartments available for rent suggest a severe affordability gap,</w:t>
      </w:r>
      <w:r w:rsidR="00D41067">
        <w:rPr>
          <w:rStyle w:val="FootnoteReference"/>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xml:space="preserve"> but such surveys do not actually capture the severity of the challenges. Landlords and managers of rental units that could be considered affordable, in well maintained buildings, have been found to apply tenant selection practices based on employment references, landlord references, credit checks and income level, that have discriminatory impacts on Code-protected groups.</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The apartments available to these groups are often those that are considered the least desirable on the market, with owners who seek to maximize occupancy while limiting maintenance and repair expenses as much as possible. In many cases, the properties have been purchased for speculative purposes and slated for development as higher income housing at a future date, so owners have little incentive to maintain and repair the buildings. In some cases, they may prefer tenants to move out, so the property can be more easily sold.</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t>
      </w:r>
    </w:p>
    <w:p w14:paraId="4DD2D924" w14:textId="54BDA760" w:rsidR="00A04000"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bookmarkStart w:id="6" w:name="_Hlk21957033"/>
      <w:r>
        <w:rPr>
          <w:rFonts w:ascii="Times New Roman" w:eastAsia="Times New Roman" w:hAnsi="Times New Roman" w:cs="Times New Roman"/>
          <w:sz w:val="24"/>
          <w:szCs w:val="24"/>
        </w:rPr>
        <w:t>Code-protected groups may also be affected by widespread prohibited forms of discrimination on enumerated grounds under the Code that are difficult to challenge in rental housing</w:t>
      </w:r>
      <w:bookmarkEnd w:id="6"/>
      <w:r>
        <w:rPr>
          <w:rFonts w:ascii="Times New Roman" w:eastAsia="Times New Roman" w:hAnsi="Times New Roman" w:cs="Times New Roman"/>
          <w:sz w:val="24"/>
          <w:szCs w:val="24"/>
        </w:rPr>
        <w:t xml:space="preserve">. A survey conducted by the </w:t>
      </w:r>
      <w:r w:rsidR="00452B4C">
        <w:rPr>
          <w:rFonts w:ascii="Times New Roman" w:eastAsia="Times New Roman" w:hAnsi="Times New Roman" w:cs="Times New Roman"/>
          <w:sz w:val="24"/>
          <w:szCs w:val="24"/>
        </w:rPr>
        <w:t xml:space="preserve">OHRC </w:t>
      </w:r>
      <w:r>
        <w:rPr>
          <w:rFonts w:ascii="Times New Roman" w:eastAsia="Times New Roman" w:hAnsi="Times New Roman" w:cs="Times New Roman"/>
          <w:sz w:val="24"/>
          <w:szCs w:val="24"/>
        </w:rPr>
        <w:t>found that persons relying on social assistance are the most negatively perceived group, with  only 39% of respondents reporting a positive attitude toward this group.</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Other groups viewed particularly unfavourably by respondents were Arab people at 44% and Muslims at 45%.</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These attitudes have been shown to </w:t>
      </w:r>
      <w:r w:rsidR="006F4A3B">
        <w:rPr>
          <w:rFonts w:ascii="Times New Roman" w:eastAsia="Times New Roman" w:hAnsi="Times New Roman" w:cs="Times New Roman"/>
          <w:sz w:val="24"/>
          <w:szCs w:val="24"/>
        </w:rPr>
        <w:t>manifest</w:t>
      </w:r>
      <w:r>
        <w:rPr>
          <w:rFonts w:ascii="Times New Roman" w:eastAsia="Times New Roman" w:hAnsi="Times New Roman" w:cs="Times New Roman"/>
          <w:sz w:val="24"/>
          <w:szCs w:val="24"/>
        </w:rPr>
        <w:t xml:space="preserve"> in widespread discriminatory </w:t>
      </w:r>
      <w:r>
        <w:rPr>
          <w:rFonts w:ascii="Times New Roman" w:eastAsia="Times New Roman" w:hAnsi="Times New Roman" w:cs="Times New Roman"/>
          <w:sz w:val="24"/>
          <w:szCs w:val="24"/>
        </w:rPr>
        <w:lastRenderedPageBreak/>
        <w:t>practices in rental housing.</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w:t>
      </w:r>
      <w:r w:rsidR="006F4A3B">
        <w:rPr>
          <w:rFonts w:ascii="Times New Roman" w:eastAsia="Times New Roman" w:hAnsi="Times New Roman" w:cs="Times New Roman"/>
          <w:sz w:val="24"/>
          <w:szCs w:val="24"/>
        </w:rPr>
        <w:t>As a result, m</w:t>
      </w:r>
      <w:r>
        <w:rPr>
          <w:rFonts w:ascii="Times New Roman" w:eastAsia="Times New Roman" w:hAnsi="Times New Roman" w:cs="Times New Roman"/>
          <w:sz w:val="24"/>
          <w:szCs w:val="24"/>
        </w:rPr>
        <w:t>embers of these groups are particularly likely to rely on substandard housing in certain neighbourhoods, where landlords and property managers do not apply restrictive tenant selection</w:t>
      </w:r>
      <w:r w:rsidR="006F4A3B">
        <w:rPr>
          <w:rFonts w:ascii="Times New Roman" w:eastAsia="Times New Roman" w:hAnsi="Times New Roman" w:cs="Times New Roman"/>
          <w:sz w:val="24"/>
          <w:szCs w:val="24"/>
        </w:rPr>
        <w:t xml:space="preserve"> practices</w:t>
      </w:r>
      <w:r>
        <w:rPr>
          <w:rFonts w:ascii="Times New Roman" w:eastAsia="Times New Roman" w:hAnsi="Times New Roman" w:cs="Times New Roman"/>
          <w:sz w:val="24"/>
          <w:szCs w:val="24"/>
        </w:rPr>
        <w:t>.</w:t>
      </w:r>
      <w:r w:rsidR="00064723">
        <w:rPr>
          <w:rStyle w:val="FootnoteReference"/>
          <w:rFonts w:ascii="Times New Roman" w:eastAsia="Times New Roman" w:hAnsi="Times New Roman" w:cs="Times New Roman"/>
          <w:sz w:val="24"/>
          <w:szCs w:val="24"/>
        </w:rPr>
        <w:footnoteReference w:id="9"/>
      </w:r>
      <w:r>
        <w:rPr>
          <w:rFonts w:ascii="Times New Roman" w:eastAsia="Times New Roman" w:hAnsi="Times New Roman" w:cs="Times New Roman"/>
          <w:sz w:val="24"/>
          <w:szCs w:val="24"/>
        </w:rPr>
        <w:t xml:space="preserve"> </w:t>
      </w:r>
    </w:p>
    <w:p w14:paraId="551F8DFD" w14:textId="77777777" w:rsidR="00955B62" w:rsidRDefault="00955B62" w:rsidP="00955B62">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sidRPr="00955B62">
        <w:rPr>
          <w:rFonts w:ascii="Times New Roman" w:eastAsia="Times New Roman" w:hAnsi="Times New Roman" w:cs="Times New Roman"/>
          <w:sz w:val="24"/>
          <w:szCs w:val="24"/>
        </w:rPr>
        <w:t>T</w:t>
      </w:r>
      <w:r>
        <w:rPr>
          <w:rFonts w:ascii="Times New Roman" w:eastAsia="Times New Roman" w:hAnsi="Times New Roman" w:cs="Times New Roman"/>
          <w:sz w:val="24"/>
          <w:szCs w:val="24"/>
        </w:rPr>
        <w:t>he adverse effect experienced by specific Code-protected groups in relation to particular development plans will vary in each case, depending on the municipality involved, the community affected and the nature of the proposed development. As such, the accommodation requirements of Code-protected groups will need to be assessed in each circumstance, based on meaningful engagement with, and participation of those affected. General obligations, however, can be derived from systemic patterns within the rental market that are well known to the Ontario Human Rights Commission (“OHRC”), to municipalities, and to those working with tenants in urban areas, and are verifiable by an examination of census and other data on demographic and household characteristics of renter households in lower rent housing in need of repair.</w:t>
      </w:r>
      <w:r>
        <w:rPr>
          <w:rFonts w:ascii="Times New Roman" w:eastAsia="Times New Roman" w:hAnsi="Times New Roman" w:cs="Times New Roman"/>
          <w:sz w:val="24"/>
          <w:szCs w:val="24"/>
          <w:vertAlign w:val="superscript"/>
        </w:rPr>
        <w:footnoteReference w:id="10"/>
      </w:r>
    </w:p>
    <w:p w14:paraId="502802AA" w14:textId="17DDAD7F" w:rsidR="00A04000" w:rsidRDefault="00BC2D96" w:rsidP="006A2C1B">
      <w:pPr>
        <w:pStyle w:val="Heading2"/>
        <w:numPr>
          <w:ilvl w:val="0"/>
          <w:numId w:val="7"/>
        </w:numPr>
      </w:pPr>
      <w:bookmarkStart w:id="7" w:name="_Toc22031120"/>
      <w:r>
        <w:t xml:space="preserve">Low income </w:t>
      </w:r>
      <w:r w:rsidRPr="006A2C1B">
        <w:t>status</w:t>
      </w:r>
      <w:r>
        <w:t xml:space="preserve"> and prohibited grounds of discrimination in housing</w:t>
      </w:r>
      <w:bookmarkEnd w:id="7"/>
    </w:p>
    <w:p w14:paraId="3B15E133" w14:textId="5C4EA85F" w:rsidR="00301798" w:rsidRDefault="00301798" w:rsidP="00EC2940">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extensive evidence presented over sixty days of hearings, the decision in </w:t>
      </w:r>
      <w:r w:rsidR="00852B78">
        <w:rPr>
          <w:rFonts w:ascii="Times New Roman" w:eastAsia="Times New Roman" w:hAnsi="Times New Roman" w:cs="Times New Roman"/>
          <w:i/>
          <w:sz w:val="24"/>
          <w:szCs w:val="24"/>
        </w:rPr>
        <w:t>Kearney v. Bramalea Ltd</w:t>
      </w:r>
      <w:r w:rsidR="00E3252C">
        <w:rPr>
          <w:rFonts w:ascii="Times New Roman" w:eastAsia="Times New Roman" w:hAnsi="Times New Roman" w:cs="Times New Roman"/>
          <w:i/>
          <w:sz w:val="24"/>
          <w:szCs w:val="24"/>
        </w:rPr>
        <w:t>.</w:t>
      </w:r>
      <w:r w:rsidR="00852B78">
        <w:rPr>
          <w:rFonts w:ascii="Times New Roman" w:eastAsia="Times New Roman" w:hAnsi="Times New Roman" w:cs="Times New Roman"/>
          <w:i/>
          <w:sz w:val="24"/>
          <w:szCs w:val="24"/>
        </w:rPr>
        <w:t xml:space="preserve"> et al</w:t>
      </w:r>
      <w:r w:rsidR="00852B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52B78">
        <w:rPr>
          <w:rFonts w:ascii="Times New Roman" w:eastAsia="Times New Roman" w:hAnsi="Times New Roman" w:cs="Times New Roman"/>
          <w:sz w:val="24"/>
          <w:szCs w:val="24"/>
        </w:rPr>
        <w:t xml:space="preserve">established that the intersection of low income status with systemic patterns of exclusion and discrimination against Code-protected groups in housing is so profound that any attempt to separate economic disadvantage from inequality in housing serves only to undermine the remedial purposes of the Code. </w:t>
      </w:r>
      <w:r>
        <w:rPr>
          <w:rFonts w:ascii="Times New Roman" w:eastAsia="Times New Roman" w:hAnsi="Times New Roman" w:cs="Times New Roman"/>
          <w:sz w:val="24"/>
          <w:szCs w:val="24"/>
        </w:rPr>
        <w:t>I</w:t>
      </w:r>
      <w:r w:rsidR="00BC2D96">
        <w:rPr>
          <w:rFonts w:ascii="Times New Roman" w:eastAsia="Times New Roman" w:hAnsi="Times New Roman" w:cs="Times New Roman"/>
          <w:sz w:val="24"/>
          <w:szCs w:val="24"/>
        </w:rPr>
        <w:t xml:space="preserve">n </w:t>
      </w:r>
      <w:r w:rsidRPr="00051103">
        <w:rPr>
          <w:rFonts w:ascii="Times New Roman" w:eastAsia="Times New Roman" w:hAnsi="Times New Roman" w:cs="Times New Roman"/>
          <w:i/>
          <w:iCs/>
          <w:sz w:val="24"/>
          <w:szCs w:val="24"/>
        </w:rPr>
        <w:t>Kearney</w:t>
      </w:r>
      <w:r w:rsidR="00BC2D96">
        <w:rPr>
          <w:rFonts w:ascii="Times New Roman" w:eastAsia="Times New Roman" w:hAnsi="Times New Roman" w:cs="Times New Roman"/>
          <w:sz w:val="24"/>
          <w:szCs w:val="24"/>
        </w:rPr>
        <w:t xml:space="preserve">, groups identified </w:t>
      </w:r>
      <w:r w:rsidR="00C27DAD">
        <w:rPr>
          <w:rFonts w:ascii="Times New Roman" w:eastAsia="Times New Roman" w:hAnsi="Times New Roman" w:cs="Times New Roman"/>
          <w:sz w:val="24"/>
          <w:szCs w:val="24"/>
        </w:rPr>
        <w:t xml:space="preserve">by prohibited grounds of </w:t>
      </w:r>
      <w:r w:rsidR="00BC2D96">
        <w:rPr>
          <w:rFonts w:ascii="Times New Roman" w:eastAsia="Times New Roman" w:hAnsi="Times New Roman" w:cs="Times New Roman"/>
          <w:sz w:val="24"/>
          <w:szCs w:val="24"/>
        </w:rPr>
        <w:t xml:space="preserve">discrimination under the Code who are renters </w:t>
      </w:r>
      <w:r>
        <w:rPr>
          <w:rFonts w:ascii="Times New Roman" w:eastAsia="Times New Roman" w:hAnsi="Times New Roman" w:cs="Times New Roman"/>
          <w:sz w:val="24"/>
          <w:szCs w:val="24"/>
        </w:rPr>
        <w:t xml:space="preserve">were found to </w:t>
      </w:r>
      <w:r w:rsidR="00BC2D96">
        <w:rPr>
          <w:rFonts w:ascii="Times New Roman" w:eastAsia="Times New Roman" w:hAnsi="Times New Roman" w:cs="Times New Roman"/>
          <w:sz w:val="24"/>
          <w:szCs w:val="24"/>
        </w:rPr>
        <w:t>have, on average, significantly lower incomes.</w:t>
      </w:r>
      <w:r w:rsidR="00BC2D96">
        <w:rPr>
          <w:rFonts w:ascii="Times New Roman" w:eastAsia="Times New Roman" w:hAnsi="Times New Roman" w:cs="Times New Roman"/>
          <w:sz w:val="24"/>
          <w:szCs w:val="24"/>
          <w:vertAlign w:val="superscript"/>
        </w:rPr>
        <w:footnoteReference w:id="11"/>
      </w:r>
      <w:r w:rsidR="00BC2D96">
        <w:rPr>
          <w:rFonts w:ascii="Times New Roman" w:eastAsia="Times New Roman" w:hAnsi="Times New Roman" w:cs="Times New Roman"/>
          <w:sz w:val="24"/>
          <w:szCs w:val="24"/>
        </w:rPr>
        <w:t xml:space="preserve"> </w:t>
      </w:r>
    </w:p>
    <w:p w14:paraId="29FB1F22" w14:textId="4975B8C6" w:rsidR="00A04000" w:rsidRDefault="00D25453" w:rsidP="00EC2940">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Many of t</w:t>
      </w:r>
      <w:r w:rsidR="00BC2D96">
        <w:rPr>
          <w:rFonts w:ascii="Times New Roman" w:eastAsia="Times New Roman" w:hAnsi="Times New Roman" w:cs="Times New Roman"/>
          <w:sz w:val="24"/>
          <w:szCs w:val="24"/>
        </w:rPr>
        <w:t xml:space="preserve">hose with </w:t>
      </w:r>
      <w:r>
        <w:rPr>
          <w:rFonts w:ascii="Times New Roman" w:eastAsia="Times New Roman" w:hAnsi="Times New Roman" w:cs="Times New Roman"/>
          <w:sz w:val="24"/>
          <w:szCs w:val="24"/>
        </w:rPr>
        <w:t xml:space="preserve">such </w:t>
      </w:r>
      <w:r w:rsidR="00BC2D96">
        <w:rPr>
          <w:rFonts w:ascii="Times New Roman" w:eastAsia="Times New Roman" w:hAnsi="Times New Roman" w:cs="Times New Roman"/>
          <w:sz w:val="24"/>
          <w:szCs w:val="24"/>
        </w:rPr>
        <w:t>low incomes include persons relying on social assistance, recent immigrants, persons with disabilities, single parent households, racialized groups, certain religious minorities such as Muslims, and renting families with children. As average rents for apartments rise, those with lower incomes face increasingly limited choices of rental housing they can afford. They are more likely to be forced to rent substandard, lower</w:t>
      </w:r>
      <w:r w:rsidR="00580C3E">
        <w:rPr>
          <w:rFonts w:ascii="Times New Roman" w:eastAsia="Times New Roman" w:hAnsi="Times New Roman" w:cs="Times New Roman"/>
          <w:sz w:val="24"/>
          <w:szCs w:val="24"/>
        </w:rPr>
        <w:t>-</w:t>
      </w:r>
      <w:r w:rsidR="00BC2D96">
        <w:rPr>
          <w:rFonts w:ascii="Times New Roman" w:eastAsia="Times New Roman" w:hAnsi="Times New Roman" w:cs="Times New Roman"/>
          <w:sz w:val="24"/>
          <w:szCs w:val="24"/>
        </w:rPr>
        <w:t>rent apartments in neighbourhoods considered less desirable.</w:t>
      </w:r>
    </w:p>
    <w:p w14:paraId="554B818A" w14:textId="28EC139D" w:rsidR="00D44489" w:rsidRDefault="00BC2D96" w:rsidP="00EC2940">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the decision in </w:t>
      </w:r>
      <w:r>
        <w:rPr>
          <w:rFonts w:ascii="Times New Roman" w:eastAsia="Times New Roman" w:hAnsi="Times New Roman" w:cs="Times New Roman"/>
          <w:i/>
          <w:sz w:val="24"/>
          <w:szCs w:val="24"/>
        </w:rPr>
        <w:t>Kearney</w:t>
      </w:r>
      <w:r>
        <w:rPr>
          <w:rFonts w:ascii="Times New Roman" w:eastAsia="Times New Roman" w:hAnsi="Times New Roman" w:cs="Times New Roman"/>
          <w:sz w:val="24"/>
          <w:szCs w:val="24"/>
        </w:rPr>
        <w:t xml:space="preserve">, policies which </w:t>
      </w:r>
      <w:r w:rsidR="00852B78">
        <w:rPr>
          <w:rFonts w:ascii="Times New Roman" w:eastAsia="Times New Roman" w:hAnsi="Times New Roman" w:cs="Times New Roman"/>
          <w:sz w:val="24"/>
          <w:szCs w:val="24"/>
        </w:rPr>
        <w:t xml:space="preserve">had </w:t>
      </w:r>
      <w:r>
        <w:rPr>
          <w:rFonts w:ascii="Times New Roman" w:eastAsia="Times New Roman" w:hAnsi="Times New Roman" w:cs="Times New Roman"/>
          <w:sz w:val="24"/>
          <w:szCs w:val="24"/>
        </w:rPr>
        <w:t xml:space="preserve">a differential effect on Code-protected groups because of their lower incomes were seen </w:t>
      </w:r>
      <w:r w:rsidR="00301798">
        <w:rPr>
          <w:rFonts w:ascii="Times New Roman" w:eastAsia="Times New Roman" w:hAnsi="Times New Roman" w:cs="Times New Roman"/>
          <w:sz w:val="24"/>
          <w:szCs w:val="24"/>
        </w:rPr>
        <w:t xml:space="preserve">to be </w:t>
      </w:r>
      <w:r>
        <w:rPr>
          <w:rFonts w:ascii="Times New Roman" w:eastAsia="Times New Roman" w:hAnsi="Times New Roman" w:cs="Times New Roman"/>
          <w:sz w:val="24"/>
          <w:szCs w:val="24"/>
        </w:rPr>
        <w:t xml:space="preserve">largely immune from human rights scrutiny. Differential treatment based on income level was viewed as inherent to a capitalist society, </w:t>
      </w:r>
      <w:r w:rsidR="00D25453">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beyond the scope of human rights review, whatever </w:t>
      </w:r>
      <w:r w:rsidR="00301798">
        <w:rPr>
          <w:rFonts w:ascii="Times New Roman" w:eastAsia="Times New Roman" w:hAnsi="Times New Roman" w:cs="Times New Roman"/>
          <w:sz w:val="24"/>
          <w:szCs w:val="24"/>
        </w:rPr>
        <w:t xml:space="preserve">its </w:t>
      </w:r>
      <w:r>
        <w:rPr>
          <w:rFonts w:ascii="Times New Roman" w:eastAsia="Times New Roman" w:hAnsi="Times New Roman" w:cs="Times New Roman"/>
          <w:sz w:val="24"/>
          <w:szCs w:val="24"/>
        </w:rPr>
        <w:t xml:space="preserve">effects on Code-protected groups. </w:t>
      </w:r>
      <w:r w:rsidR="00F23300">
        <w:rPr>
          <w:rFonts w:ascii="Times New Roman" w:eastAsia="Times New Roman" w:hAnsi="Times New Roman" w:cs="Times New Roman"/>
          <w:sz w:val="24"/>
          <w:szCs w:val="24"/>
        </w:rPr>
        <w:t xml:space="preserve">In </w:t>
      </w:r>
      <w:r w:rsidR="00F23300" w:rsidRPr="00051103">
        <w:rPr>
          <w:rFonts w:ascii="Times New Roman" w:eastAsia="Times New Roman" w:hAnsi="Times New Roman" w:cs="Times New Roman"/>
          <w:i/>
          <w:iCs/>
          <w:sz w:val="24"/>
          <w:szCs w:val="24"/>
        </w:rPr>
        <w:t>Kearney</w:t>
      </w:r>
      <w:r>
        <w:rPr>
          <w:rFonts w:ascii="Times New Roman" w:eastAsia="Times New Roman" w:hAnsi="Times New Roman" w:cs="Times New Roman"/>
          <w:sz w:val="24"/>
          <w:szCs w:val="24"/>
        </w:rPr>
        <w:t xml:space="preserve">, it </w:t>
      </w:r>
      <w:r w:rsidR="00D25453">
        <w:rPr>
          <w:rFonts w:ascii="Times New Roman" w:eastAsia="Times New Roman" w:hAnsi="Times New Roman" w:cs="Times New Roman"/>
          <w:sz w:val="24"/>
          <w:szCs w:val="24"/>
        </w:rPr>
        <w:t>became</w:t>
      </w:r>
      <w:r>
        <w:rPr>
          <w:rFonts w:ascii="Times New Roman" w:eastAsia="Times New Roman" w:hAnsi="Times New Roman" w:cs="Times New Roman"/>
          <w:sz w:val="24"/>
          <w:szCs w:val="24"/>
        </w:rPr>
        <w:t xml:space="preserve"> clear that removing from human rights scrutiny the critical link </w:t>
      </w:r>
      <w:r>
        <w:rPr>
          <w:rFonts w:ascii="Times New Roman" w:eastAsia="Times New Roman" w:hAnsi="Times New Roman" w:cs="Times New Roman"/>
          <w:sz w:val="24"/>
          <w:szCs w:val="24"/>
        </w:rPr>
        <w:lastRenderedPageBreak/>
        <w:t xml:space="preserve">between poverty and systemic discrimination in rental housing rendered protections from discrimination in housing largely illusory for the most disadvantaged groups. </w:t>
      </w:r>
    </w:p>
    <w:p w14:paraId="21E619FE" w14:textId="2D22E6C6" w:rsidR="00A04000" w:rsidRDefault="00BC2D96" w:rsidP="00EC2940">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assistance recipients, for example, </w:t>
      </w:r>
      <w:r w:rsidR="00380670">
        <w:rPr>
          <w:rFonts w:ascii="Times New Roman" w:eastAsia="Times New Roman" w:hAnsi="Times New Roman" w:cs="Times New Roman"/>
          <w:sz w:val="24"/>
          <w:szCs w:val="24"/>
        </w:rPr>
        <w:t xml:space="preserve">who </w:t>
      </w:r>
      <w:r>
        <w:rPr>
          <w:rFonts w:ascii="Times New Roman" w:eastAsia="Times New Roman" w:hAnsi="Times New Roman" w:cs="Times New Roman"/>
          <w:sz w:val="24"/>
          <w:szCs w:val="24"/>
        </w:rPr>
        <w:t xml:space="preserve">had been guaranteed equal treatment in housing, could be completely excluded from the most affordable housing they could find </w:t>
      </w:r>
      <w:r w:rsidR="00F233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with impunity </w:t>
      </w:r>
      <w:r w:rsidR="00F233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 long as the reason for the exclusion was their low level of income. </w:t>
      </w:r>
      <w:r w:rsidR="0055700E">
        <w:rPr>
          <w:rFonts w:ascii="Times New Roman" w:eastAsia="Times New Roman" w:hAnsi="Times New Roman" w:cs="Times New Roman"/>
          <w:i/>
          <w:iCs/>
          <w:sz w:val="24"/>
          <w:szCs w:val="24"/>
        </w:rPr>
        <w:t xml:space="preserve">Kearney </w:t>
      </w:r>
      <w:r w:rsidR="0055700E">
        <w:rPr>
          <w:rFonts w:ascii="Times New Roman" w:eastAsia="Times New Roman" w:hAnsi="Times New Roman" w:cs="Times New Roman"/>
          <w:sz w:val="24"/>
          <w:szCs w:val="24"/>
        </w:rPr>
        <w:t>recognized the direct and adverse effect discrimination experienced by this group and the need for</w:t>
      </w:r>
      <w:r w:rsidR="00E20223">
        <w:rPr>
          <w:rFonts w:ascii="Times New Roman" w:eastAsia="Times New Roman" w:hAnsi="Times New Roman" w:cs="Times New Roman"/>
          <w:sz w:val="24"/>
          <w:szCs w:val="24"/>
        </w:rPr>
        <w:t xml:space="preserve"> protection through a systemic remedy</w:t>
      </w:r>
      <w:r w:rsidR="00E81C30">
        <w:rPr>
          <w:rFonts w:ascii="Times New Roman" w:eastAsia="Times New Roman" w:hAnsi="Times New Roman" w:cs="Times New Roman"/>
          <w:sz w:val="24"/>
          <w:szCs w:val="24"/>
        </w:rPr>
        <w:t xml:space="preserve"> under the Code.</w:t>
      </w:r>
    </w:p>
    <w:p w14:paraId="137FF96C" w14:textId="233EBE46" w:rsidR="00A04000" w:rsidRDefault="00D56674" w:rsidP="00EC2940">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in</w:t>
      </w:r>
      <w:r w:rsidR="00474329">
        <w:rPr>
          <w:rFonts w:ascii="Times New Roman" w:eastAsia="Times New Roman" w:hAnsi="Times New Roman" w:cs="Times New Roman"/>
          <w:sz w:val="24"/>
          <w:szCs w:val="24"/>
        </w:rPr>
        <w:t xml:space="preserve"> </w:t>
      </w:r>
      <w:r w:rsidR="00474329" w:rsidRPr="00051103">
        <w:rPr>
          <w:rFonts w:ascii="Times New Roman" w:eastAsia="Times New Roman" w:hAnsi="Times New Roman" w:cs="Times New Roman"/>
          <w:i/>
          <w:iCs/>
          <w:sz w:val="24"/>
          <w:szCs w:val="24"/>
        </w:rPr>
        <w:t>Kearney</w:t>
      </w:r>
      <w:r w:rsidR="00474329">
        <w:rPr>
          <w:rFonts w:ascii="Times New Roman" w:eastAsia="Times New Roman" w:hAnsi="Times New Roman" w:cs="Times New Roman"/>
          <w:sz w:val="24"/>
          <w:szCs w:val="24"/>
        </w:rPr>
        <w:t xml:space="preserve">, </w:t>
      </w:r>
      <w:commentRangeStart w:id="8"/>
      <w:r w:rsidR="00BC2D96">
        <w:rPr>
          <w:rFonts w:ascii="Times New Roman" w:eastAsia="Times New Roman" w:hAnsi="Times New Roman" w:cs="Times New Roman"/>
          <w:sz w:val="24"/>
          <w:szCs w:val="24"/>
        </w:rPr>
        <w:t xml:space="preserve">the </w:t>
      </w:r>
      <w:r w:rsidR="00370AA3">
        <w:rPr>
          <w:rFonts w:ascii="Times New Roman" w:eastAsia="Times New Roman" w:hAnsi="Times New Roman" w:cs="Times New Roman"/>
          <w:sz w:val="24"/>
          <w:szCs w:val="24"/>
        </w:rPr>
        <w:t xml:space="preserve">circumstances faced by the communities </w:t>
      </w:r>
      <w:r w:rsidR="00630B32">
        <w:rPr>
          <w:rFonts w:ascii="Times New Roman" w:eastAsia="Times New Roman" w:hAnsi="Times New Roman" w:cs="Times New Roman"/>
          <w:sz w:val="24"/>
          <w:szCs w:val="24"/>
        </w:rPr>
        <w:t xml:space="preserve">displaced </w:t>
      </w:r>
      <w:r w:rsidR="00370AA3">
        <w:rPr>
          <w:rFonts w:ascii="Times New Roman" w:eastAsia="Times New Roman" w:hAnsi="Times New Roman" w:cs="Times New Roman"/>
          <w:sz w:val="24"/>
          <w:szCs w:val="24"/>
        </w:rPr>
        <w:t xml:space="preserve">in </w:t>
      </w:r>
      <w:r w:rsidR="00BC2D96">
        <w:rPr>
          <w:rFonts w:ascii="Times New Roman" w:eastAsia="Times New Roman" w:hAnsi="Times New Roman" w:cs="Times New Roman"/>
          <w:sz w:val="24"/>
          <w:szCs w:val="24"/>
        </w:rPr>
        <w:t xml:space="preserve">Herongate </w:t>
      </w:r>
      <w:commentRangeEnd w:id="8"/>
      <w:r w:rsidR="00A31008">
        <w:rPr>
          <w:rStyle w:val="CommentReference"/>
          <w:rFonts w:ascii="Times New Roman" w:eastAsia="Times New Roman" w:hAnsi="Times New Roman" w:cs="Times New Roman"/>
          <w:sz w:val="24"/>
          <w:szCs w:val="24"/>
        </w:rPr>
        <w:commentReference w:id="8"/>
      </w:r>
      <w:r w:rsidR="00BC2D96">
        <w:rPr>
          <w:rFonts w:ascii="Times New Roman" w:eastAsia="Times New Roman" w:hAnsi="Times New Roman" w:cs="Times New Roman"/>
          <w:sz w:val="24"/>
          <w:szCs w:val="24"/>
        </w:rPr>
        <w:t>bring to the fore similar issues of both direct and adverse effect discrimination based on the intersectionality of poverty</w:t>
      </w:r>
      <w:r w:rsidR="00186522">
        <w:rPr>
          <w:rFonts w:ascii="Times New Roman" w:eastAsia="Times New Roman" w:hAnsi="Times New Roman" w:cs="Times New Roman"/>
          <w:sz w:val="24"/>
          <w:szCs w:val="24"/>
        </w:rPr>
        <w:t xml:space="preserve"> and </w:t>
      </w:r>
      <w:r w:rsidR="00BC2D96">
        <w:rPr>
          <w:rFonts w:ascii="Times New Roman" w:eastAsia="Times New Roman" w:hAnsi="Times New Roman" w:cs="Times New Roman"/>
          <w:sz w:val="24"/>
          <w:szCs w:val="24"/>
        </w:rPr>
        <w:t>low income status with enumerated grounds of discrimination in housing</w:t>
      </w:r>
      <w:r w:rsidR="00186522">
        <w:rPr>
          <w:rFonts w:ascii="Times New Roman" w:eastAsia="Times New Roman" w:hAnsi="Times New Roman" w:cs="Times New Roman"/>
          <w:sz w:val="24"/>
          <w:szCs w:val="24"/>
        </w:rPr>
        <w:t>,</w:t>
      </w:r>
      <w:r w:rsidR="00BC2D96">
        <w:rPr>
          <w:rFonts w:ascii="Times New Roman" w:eastAsia="Times New Roman" w:hAnsi="Times New Roman" w:cs="Times New Roman"/>
          <w:sz w:val="24"/>
          <w:szCs w:val="24"/>
        </w:rPr>
        <w:t xml:space="preserve"> this time in the context of large</w:t>
      </w:r>
      <w:r w:rsidR="00772371">
        <w:rPr>
          <w:rFonts w:ascii="Times New Roman" w:eastAsia="Times New Roman" w:hAnsi="Times New Roman" w:cs="Times New Roman"/>
          <w:sz w:val="24"/>
          <w:szCs w:val="24"/>
        </w:rPr>
        <w:t>-</w:t>
      </w:r>
      <w:r w:rsidR="00BC2D96">
        <w:rPr>
          <w:rFonts w:ascii="Times New Roman" w:eastAsia="Times New Roman" w:hAnsi="Times New Roman" w:cs="Times New Roman"/>
          <w:sz w:val="24"/>
          <w:szCs w:val="24"/>
        </w:rPr>
        <w:t>scale eviction</w:t>
      </w:r>
      <w:r w:rsidR="00186522">
        <w:rPr>
          <w:rFonts w:ascii="Times New Roman" w:eastAsia="Times New Roman" w:hAnsi="Times New Roman" w:cs="Times New Roman"/>
          <w:sz w:val="24"/>
          <w:szCs w:val="24"/>
        </w:rPr>
        <w:t>s</w:t>
      </w:r>
      <w:r w:rsidR="00BC2D96">
        <w:rPr>
          <w:rFonts w:ascii="Times New Roman" w:eastAsia="Times New Roman" w:hAnsi="Times New Roman" w:cs="Times New Roman"/>
          <w:sz w:val="24"/>
          <w:szCs w:val="24"/>
        </w:rPr>
        <w:t xml:space="preserve">, displacement and redevelopment of housing. </w:t>
      </w:r>
    </w:p>
    <w:p w14:paraId="2F905709" w14:textId="2AC336C3" w:rsidR="00A04000" w:rsidRDefault="00BC2D96" w:rsidP="006A2C1B">
      <w:pPr>
        <w:pStyle w:val="Heading2"/>
        <w:numPr>
          <w:ilvl w:val="0"/>
          <w:numId w:val="7"/>
        </w:numPr>
      </w:pPr>
      <w:bookmarkStart w:id="9" w:name="_tyjcwt" w:colFirst="0" w:colLast="0"/>
      <w:bookmarkStart w:id="10" w:name="_Toc22031121"/>
      <w:bookmarkEnd w:id="9"/>
      <w:r>
        <w:t xml:space="preserve">Direct </w:t>
      </w:r>
      <w:r w:rsidRPr="006A2C1B">
        <w:t>discrimination</w:t>
      </w:r>
      <w:bookmarkEnd w:id="10"/>
    </w:p>
    <w:p w14:paraId="4F67D3F4" w14:textId="28D71F52" w:rsidR="00A04000"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Code’s guarantee of equal treatment with respect to the occupancy of accommodation</w:t>
      </w:r>
      <w:r w:rsidR="00186522">
        <w:rPr>
          <w:rStyle w:val="FootnoteReference"/>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 xml:space="preserve"> prohibits both direct and adverse effect discrimination in the context of eviction from housing or removal from a residential community. It is not always easy, however, to distinguish the two.</w:t>
      </w:r>
    </w:p>
    <w:p w14:paraId="2C3F7EDA" w14:textId="77777777" w:rsidR="00D33402" w:rsidRDefault="00BC2D96">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Business practices </w:t>
      </w:r>
      <w:r w:rsidR="00EC2940">
        <w:rPr>
          <w:rFonts w:ascii="Times New Roman" w:eastAsia="Times New Roman" w:hAnsi="Times New Roman" w:cs="Times New Roman"/>
          <w:sz w:val="24"/>
          <w:szCs w:val="24"/>
        </w:rPr>
        <w:t xml:space="preserve">in large-scale housing upgrading or development </w:t>
      </w:r>
      <w:r>
        <w:rPr>
          <w:rFonts w:ascii="Times New Roman" w:eastAsia="Times New Roman" w:hAnsi="Times New Roman" w:cs="Times New Roman"/>
          <w:sz w:val="24"/>
          <w:szCs w:val="24"/>
        </w:rPr>
        <w:t xml:space="preserve">that appear neutral may in fact </w:t>
      </w:r>
      <w:r w:rsidR="00186522">
        <w:rPr>
          <w:rFonts w:ascii="Times New Roman" w:eastAsia="Times New Roman" w:hAnsi="Times New Roman" w:cs="Times New Roman"/>
          <w:sz w:val="24"/>
          <w:szCs w:val="24"/>
        </w:rPr>
        <w:t>reflect</w:t>
      </w:r>
      <w:r>
        <w:rPr>
          <w:rFonts w:ascii="Times New Roman" w:eastAsia="Times New Roman" w:hAnsi="Times New Roman" w:cs="Times New Roman"/>
          <w:sz w:val="24"/>
          <w:szCs w:val="24"/>
        </w:rPr>
        <w:t xml:space="preserve"> discriminatory intent</w:t>
      </w:r>
      <w:r w:rsidR="00EC29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Predatory investors may, for example, intentionally select communities in which racialized groups live, with the intention of displacing </w:t>
      </w:r>
      <w:r w:rsidR="00EC2940">
        <w:rPr>
          <w:rFonts w:ascii="Times New Roman" w:eastAsia="Times New Roman" w:hAnsi="Times New Roman" w:cs="Times New Roman"/>
          <w:sz w:val="24"/>
          <w:szCs w:val="24"/>
        </w:rPr>
        <w:t xml:space="preserve">those </w:t>
      </w:r>
      <w:r>
        <w:rPr>
          <w:rFonts w:ascii="Times New Roman" w:eastAsia="Times New Roman" w:hAnsi="Times New Roman" w:cs="Times New Roman"/>
          <w:sz w:val="24"/>
          <w:szCs w:val="24"/>
        </w:rPr>
        <w:t>tenants by various means and replacing them with non-racialized tenants.</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Investors may seek to increase the value of their properties by profiting from discriminatory attitudes and stereotypes regarding racialized neighbourhoods, intentionally engineering a demographic change, such that Code</w:t>
      </w:r>
      <w:r w:rsidR="00EC2940">
        <w:rPr>
          <w:rFonts w:ascii="Times New Roman" w:eastAsia="Times New Roman" w:hAnsi="Times New Roman" w:cs="Times New Roman"/>
          <w:sz w:val="24"/>
          <w:szCs w:val="24"/>
        </w:rPr>
        <w:t>-</w:t>
      </w:r>
      <w:r>
        <w:rPr>
          <w:rFonts w:ascii="Times New Roman" w:eastAsia="Times New Roman" w:hAnsi="Times New Roman" w:cs="Times New Roman"/>
          <w:sz w:val="24"/>
          <w:szCs w:val="24"/>
        </w:rPr>
        <w:t>protected groups are displaced and the property values increased.</w:t>
      </w:r>
      <w:r w:rsidR="002A6BC0">
        <w:rPr>
          <w:rStyle w:val="FootnoteReference"/>
          <w:rFonts w:ascii="Times New Roman" w:eastAsia="Times New Roman" w:hAnsi="Times New Roman" w:cs="Times New Roman"/>
          <w:sz w:val="24"/>
          <w:szCs w:val="24"/>
        </w:rPr>
        <w:footnoteReference w:id="14"/>
      </w:r>
      <w:r>
        <w:rPr>
          <w:rFonts w:ascii="Times New Roman" w:eastAsia="Times New Roman" w:hAnsi="Times New Roman" w:cs="Times New Roman"/>
          <w:sz w:val="24"/>
          <w:szCs w:val="24"/>
        </w:rPr>
        <w:t xml:space="preserve"> </w:t>
      </w:r>
    </w:p>
    <w:p w14:paraId="5D3B0FC1" w14:textId="5FD94A87" w:rsidR="00A04000" w:rsidRDefault="00BC2D96">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Developers or landlords may employ tactics to encourage minority communities to move out, </w:t>
      </w:r>
      <w:r w:rsidR="00EC2940">
        <w:rPr>
          <w:rFonts w:ascii="Times New Roman" w:eastAsia="Times New Roman" w:hAnsi="Times New Roman" w:cs="Times New Roman"/>
          <w:sz w:val="24"/>
          <w:szCs w:val="24"/>
        </w:rPr>
        <w:t xml:space="preserve">such as </w:t>
      </w:r>
      <w:r>
        <w:rPr>
          <w:rFonts w:ascii="Times New Roman" w:eastAsia="Times New Roman" w:hAnsi="Times New Roman" w:cs="Times New Roman"/>
          <w:sz w:val="24"/>
          <w:szCs w:val="24"/>
        </w:rPr>
        <w:t xml:space="preserve">by failing to provide services or upkeep to racialized tenants, tenants with disabilities or </w:t>
      </w:r>
      <w:r w:rsidR="00846A21">
        <w:rPr>
          <w:rFonts w:ascii="Times New Roman" w:eastAsia="Times New Roman" w:hAnsi="Times New Roman" w:cs="Times New Roman"/>
          <w:sz w:val="24"/>
          <w:szCs w:val="24"/>
        </w:rPr>
        <w:t xml:space="preserve">tenants </w:t>
      </w:r>
      <w:r w:rsidR="00EF4751">
        <w:rPr>
          <w:rFonts w:ascii="Times New Roman" w:eastAsia="Times New Roman" w:hAnsi="Times New Roman" w:cs="Times New Roman"/>
          <w:sz w:val="24"/>
          <w:szCs w:val="24"/>
        </w:rPr>
        <w:t xml:space="preserve">who are </w:t>
      </w:r>
      <w:r>
        <w:rPr>
          <w:rFonts w:ascii="Times New Roman" w:eastAsia="Times New Roman" w:hAnsi="Times New Roman" w:cs="Times New Roman"/>
          <w:sz w:val="24"/>
          <w:szCs w:val="24"/>
        </w:rPr>
        <w:t xml:space="preserve">members of other protected groups. Eviction procedures may be instituted more rigorously against racialized tenants </w:t>
      </w:r>
      <w:r w:rsidR="00EF4751">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other Code-protected groups. </w:t>
      </w:r>
      <w:r w:rsidR="00EF4751">
        <w:rPr>
          <w:rFonts w:ascii="Times New Roman" w:eastAsia="Times New Roman" w:hAnsi="Times New Roman" w:cs="Times New Roman"/>
          <w:sz w:val="24"/>
          <w:szCs w:val="24"/>
        </w:rPr>
        <w:t xml:space="preserve">Municipalities may enforce </w:t>
      </w:r>
      <w:r>
        <w:rPr>
          <w:rFonts w:ascii="Times New Roman" w:eastAsia="Times New Roman" w:hAnsi="Times New Roman" w:cs="Times New Roman"/>
          <w:sz w:val="24"/>
          <w:szCs w:val="24"/>
        </w:rPr>
        <w:t xml:space="preserve">property standard bylaws or </w:t>
      </w:r>
      <w:r w:rsidR="00EF4751">
        <w:rPr>
          <w:rFonts w:ascii="Times New Roman" w:eastAsia="Times New Roman" w:hAnsi="Times New Roman" w:cs="Times New Roman"/>
          <w:sz w:val="24"/>
          <w:szCs w:val="24"/>
        </w:rPr>
        <w:t>provide</w:t>
      </w:r>
      <w:r>
        <w:rPr>
          <w:rFonts w:ascii="Times New Roman" w:eastAsia="Times New Roman" w:hAnsi="Times New Roman" w:cs="Times New Roman"/>
          <w:sz w:val="24"/>
          <w:szCs w:val="24"/>
        </w:rPr>
        <w:t xml:space="preserve"> public services </w:t>
      </w:r>
      <w:r w:rsidR="009E7A2D">
        <w:rPr>
          <w:rFonts w:ascii="Times New Roman" w:eastAsia="Times New Roman" w:hAnsi="Times New Roman" w:cs="Times New Roman"/>
          <w:sz w:val="24"/>
          <w:szCs w:val="24"/>
        </w:rPr>
        <w:t>in a way that</w:t>
      </w:r>
      <w:r>
        <w:rPr>
          <w:rFonts w:ascii="Times New Roman" w:eastAsia="Times New Roman" w:hAnsi="Times New Roman" w:cs="Times New Roman"/>
          <w:sz w:val="24"/>
          <w:szCs w:val="24"/>
        </w:rPr>
        <w:t xml:space="preserve"> disclose</w:t>
      </w:r>
      <w:r w:rsidR="0015484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discriminatory patterns of differential treatment based on prohibited grounds.</w:t>
      </w:r>
    </w:p>
    <w:p w14:paraId="3DD85055" w14:textId="72FAF972" w:rsidR="00A04000" w:rsidRDefault="00BC2D9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discrimination of this sort in housing, whether by landlords, developers or municipalities, is prohibited under the Code. </w:t>
      </w:r>
      <w:bookmarkStart w:id="11" w:name="_Hlk21957568"/>
      <w:bookmarkStart w:id="12" w:name="_Hlk21957467"/>
      <w:r>
        <w:rPr>
          <w:rFonts w:ascii="Times New Roman" w:eastAsia="Times New Roman" w:hAnsi="Times New Roman" w:cs="Times New Roman"/>
          <w:sz w:val="24"/>
          <w:szCs w:val="24"/>
        </w:rPr>
        <w:t>There is no</w:t>
      </w:r>
      <w:r w:rsidR="00580C3E">
        <w:rPr>
          <w:rFonts w:ascii="Times New Roman" w:eastAsia="Times New Roman" w:hAnsi="Times New Roman" w:cs="Times New Roman"/>
          <w:sz w:val="24"/>
          <w:szCs w:val="24"/>
        </w:rPr>
        <w:t xml:space="preserve"> “bona fide qualification”</w:t>
      </w:r>
      <w:r>
        <w:rPr>
          <w:rFonts w:ascii="Times New Roman" w:eastAsia="Times New Roman" w:hAnsi="Times New Roman" w:cs="Times New Roman"/>
          <w:sz w:val="24"/>
          <w:szCs w:val="24"/>
        </w:rPr>
        <w:t xml:space="preserve"> provision </w:t>
      </w:r>
      <w:r w:rsidR="00580C3E">
        <w:rPr>
          <w:rFonts w:ascii="Times New Roman" w:eastAsia="Times New Roman" w:hAnsi="Times New Roman" w:cs="Times New Roman"/>
          <w:sz w:val="24"/>
          <w:szCs w:val="24"/>
        </w:rPr>
        <w:t xml:space="preserve">permitting tribunals or courts to find </w:t>
      </w:r>
      <w:r>
        <w:rPr>
          <w:rFonts w:ascii="Times New Roman" w:eastAsia="Times New Roman" w:hAnsi="Times New Roman" w:cs="Times New Roman"/>
          <w:sz w:val="24"/>
          <w:szCs w:val="24"/>
        </w:rPr>
        <w:t xml:space="preserve">such practices </w:t>
      </w:r>
      <w:r w:rsidR="00580C3E">
        <w:rPr>
          <w:rFonts w:ascii="Times New Roman" w:eastAsia="Times New Roman" w:hAnsi="Times New Roman" w:cs="Times New Roman"/>
          <w:sz w:val="24"/>
          <w:szCs w:val="24"/>
        </w:rPr>
        <w:t xml:space="preserve">to be justified </w:t>
      </w:r>
      <w:r>
        <w:rPr>
          <w:rFonts w:ascii="Times New Roman" w:eastAsia="Times New Roman" w:hAnsi="Times New Roman" w:cs="Times New Roman"/>
          <w:sz w:val="24"/>
          <w:szCs w:val="24"/>
        </w:rPr>
        <w:t xml:space="preserve">based on financial or other considerations. </w:t>
      </w:r>
      <w:bookmarkEnd w:id="11"/>
      <w:r>
        <w:rPr>
          <w:rFonts w:ascii="Times New Roman" w:eastAsia="Times New Roman" w:hAnsi="Times New Roman" w:cs="Times New Roman"/>
          <w:sz w:val="24"/>
          <w:szCs w:val="24"/>
        </w:rPr>
        <w:t>Those affected are entitled to remedies and compensation</w:t>
      </w:r>
      <w:bookmarkEnd w:id="12"/>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5"/>
      </w:r>
    </w:p>
    <w:p w14:paraId="2E827657" w14:textId="05537751" w:rsidR="00A04000" w:rsidRDefault="00BC2D96" w:rsidP="006A2C1B">
      <w:pPr>
        <w:pStyle w:val="Heading2"/>
        <w:numPr>
          <w:ilvl w:val="0"/>
          <w:numId w:val="7"/>
        </w:numPr>
      </w:pPr>
      <w:bookmarkStart w:id="13" w:name="_3dy6vkm" w:colFirst="0" w:colLast="0"/>
      <w:bookmarkStart w:id="14" w:name="_Toc22031122"/>
      <w:bookmarkEnd w:id="13"/>
      <w:r>
        <w:lastRenderedPageBreak/>
        <w:t>The blurred line between direct and adverse effect discrimination</w:t>
      </w:r>
      <w:bookmarkEnd w:id="14"/>
    </w:p>
    <w:p w14:paraId="5E02B7A1" w14:textId="2D981940" w:rsidR="00A04000"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bookmarkStart w:id="15" w:name="_Hlk21957903"/>
      <w:r>
        <w:rPr>
          <w:rFonts w:ascii="Times New Roman" w:eastAsia="Times New Roman" w:hAnsi="Times New Roman" w:cs="Times New Roman"/>
          <w:sz w:val="24"/>
          <w:szCs w:val="24"/>
        </w:rPr>
        <w:t xml:space="preserve">There are both conceptual and practical problems with trying to draw a bright line between direct discrimination and adverse effect </w:t>
      </w:r>
      <w:r w:rsidR="00F74496">
        <w:rPr>
          <w:rFonts w:ascii="Times New Roman" w:eastAsia="Times New Roman" w:hAnsi="Times New Roman" w:cs="Times New Roman"/>
          <w:sz w:val="24"/>
          <w:szCs w:val="24"/>
        </w:rPr>
        <w:t xml:space="preserve">discrimination, </w:t>
      </w:r>
      <w:r>
        <w:rPr>
          <w:rFonts w:ascii="Times New Roman" w:eastAsia="Times New Roman" w:hAnsi="Times New Roman" w:cs="Times New Roman"/>
          <w:sz w:val="24"/>
          <w:szCs w:val="24"/>
        </w:rPr>
        <w:t>or what the Code labels ‘constructive’ discrimination.</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w:t>
      </w:r>
      <w:bookmarkStart w:id="16" w:name="_Hlk21957810"/>
      <w:r>
        <w:rPr>
          <w:rFonts w:ascii="Times New Roman" w:eastAsia="Times New Roman" w:hAnsi="Times New Roman" w:cs="Times New Roman"/>
          <w:sz w:val="24"/>
          <w:szCs w:val="24"/>
        </w:rPr>
        <w:t xml:space="preserve">This is particularly true of investment and upgrading plans for communities where there may be allegations of racial stereotyping and of </w:t>
      </w:r>
      <w:r w:rsidR="004D29F3">
        <w:rPr>
          <w:rFonts w:ascii="Times New Roman" w:eastAsia="Times New Roman" w:hAnsi="Times New Roman" w:cs="Times New Roman"/>
          <w:sz w:val="24"/>
          <w:szCs w:val="24"/>
        </w:rPr>
        <w:t xml:space="preserve">attempts to </w:t>
      </w:r>
      <w:r>
        <w:rPr>
          <w:rFonts w:ascii="Times New Roman" w:eastAsia="Times New Roman" w:hAnsi="Times New Roman" w:cs="Times New Roman"/>
          <w:sz w:val="24"/>
          <w:szCs w:val="24"/>
        </w:rPr>
        <w:t>change the racial make-up of a community</w:t>
      </w:r>
      <w:r w:rsidR="009E3D0C">
        <w:rPr>
          <w:rFonts w:ascii="Times New Roman" w:eastAsia="Times New Roman" w:hAnsi="Times New Roman" w:cs="Times New Roman"/>
          <w:sz w:val="24"/>
          <w:szCs w:val="24"/>
        </w:rPr>
        <w:t>, while</w:t>
      </w:r>
      <w:r>
        <w:rPr>
          <w:rFonts w:ascii="Times New Roman" w:eastAsia="Times New Roman" w:hAnsi="Times New Roman" w:cs="Times New Roman"/>
          <w:sz w:val="24"/>
          <w:szCs w:val="24"/>
        </w:rPr>
        <w:t xml:space="preserve"> at the same time</w:t>
      </w:r>
      <w:r w:rsidR="00AD15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housing </w:t>
      </w:r>
      <w:r w:rsidR="00BE6E8F">
        <w:rPr>
          <w:rFonts w:ascii="Times New Roman" w:eastAsia="Times New Roman" w:hAnsi="Times New Roman" w:cs="Times New Roman"/>
          <w:sz w:val="24"/>
          <w:szCs w:val="24"/>
        </w:rPr>
        <w:t xml:space="preserve">may </w:t>
      </w:r>
      <w:r>
        <w:rPr>
          <w:rFonts w:ascii="Times New Roman" w:eastAsia="Times New Roman" w:hAnsi="Times New Roman" w:cs="Times New Roman"/>
          <w:sz w:val="24"/>
          <w:szCs w:val="24"/>
        </w:rPr>
        <w:t xml:space="preserve">actually </w:t>
      </w:r>
      <w:r w:rsidR="00BE6E8F">
        <w:rPr>
          <w:rFonts w:ascii="Times New Roman" w:eastAsia="Times New Roman" w:hAnsi="Times New Roman" w:cs="Times New Roman"/>
          <w:sz w:val="24"/>
          <w:szCs w:val="24"/>
        </w:rPr>
        <w:t xml:space="preserve">be </w:t>
      </w:r>
      <w:r>
        <w:rPr>
          <w:rFonts w:ascii="Times New Roman" w:eastAsia="Times New Roman" w:hAnsi="Times New Roman" w:cs="Times New Roman"/>
          <w:sz w:val="24"/>
          <w:szCs w:val="24"/>
        </w:rPr>
        <w:t xml:space="preserve">in need of upgrading, </w:t>
      </w:r>
      <w:r w:rsidR="004D29F3">
        <w:rPr>
          <w:rFonts w:ascii="Times New Roman" w:eastAsia="Times New Roman" w:hAnsi="Times New Roman" w:cs="Times New Roman"/>
          <w:sz w:val="24"/>
          <w:szCs w:val="24"/>
        </w:rPr>
        <w:t xml:space="preserve">and </w:t>
      </w:r>
      <w:bookmarkEnd w:id="16"/>
      <w:r w:rsidR="00BE6E8F">
        <w:rPr>
          <w:rFonts w:ascii="Times New Roman" w:eastAsia="Times New Roman" w:hAnsi="Times New Roman" w:cs="Times New Roman"/>
          <w:sz w:val="24"/>
          <w:szCs w:val="24"/>
        </w:rPr>
        <w:t xml:space="preserve">municipalities may have </w:t>
      </w:r>
      <w:r w:rsidDel="00154841">
        <w:rPr>
          <w:rFonts w:ascii="Times New Roman" w:eastAsia="Times New Roman" w:hAnsi="Times New Roman" w:cs="Times New Roman"/>
          <w:sz w:val="24"/>
          <w:szCs w:val="24"/>
        </w:rPr>
        <w:t xml:space="preserve">legitimate interests </w:t>
      </w:r>
      <w:r w:rsidR="004E6EF0">
        <w:rPr>
          <w:rFonts w:ascii="Times New Roman" w:eastAsia="Times New Roman" w:hAnsi="Times New Roman" w:cs="Times New Roman"/>
          <w:sz w:val="24"/>
          <w:szCs w:val="24"/>
        </w:rPr>
        <w:t>for</w:t>
      </w:r>
      <w:r w:rsidDel="00154841">
        <w:rPr>
          <w:rFonts w:ascii="Times New Roman" w:eastAsia="Times New Roman" w:hAnsi="Times New Roman" w:cs="Times New Roman"/>
          <w:sz w:val="24"/>
          <w:szCs w:val="24"/>
        </w:rPr>
        <w:t xml:space="preserve"> encouraging </w:t>
      </w:r>
      <w:r w:rsidR="009E3D0C">
        <w:rPr>
          <w:rFonts w:ascii="Times New Roman" w:eastAsia="Times New Roman" w:hAnsi="Times New Roman" w:cs="Times New Roman"/>
          <w:sz w:val="24"/>
          <w:szCs w:val="24"/>
        </w:rPr>
        <w:t xml:space="preserve">the </w:t>
      </w:r>
      <w:r w:rsidDel="00154841">
        <w:rPr>
          <w:rFonts w:ascii="Times New Roman" w:eastAsia="Times New Roman" w:hAnsi="Times New Roman" w:cs="Times New Roman"/>
          <w:sz w:val="24"/>
          <w:szCs w:val="24"/>
        </w:rPr>
        <w:t>development of new</w:t>
      </w:r>
      <w:r w:rsidR="00580C3E">
        <w:rPr>
          <w:rFonts w:ascii="Times New Roman" w:eastAsia="Times New Roman" w:hAnsi="Times New Roman" w:cs="Times New Roman"/>
          <w:sz w:val="24"/>
          <w:szCs w:val="24"/>
        </w:rPr>
        <w:t>,</w:t>
      </w:r>
      <w:r w:rsidR="004D29F3">
        <w:rPr>
          <w:rFonts w:ascii="Times New Roman" w:eastAsia="Times New Roman" w:hAnsi="Times New Roman" w:cs="Times New Roman"/>
          <w:sz w:val="24"/>
          <w:szCs w:val="24"/>
        </w:rPr>
        <w:t xml:space="preserve"> upgraded</w:t>
      </w:r>
      <w:r w:rsidR="00580C3E">
        <w:rPr>
          <w:rFonts w:ascii="Times New Roman" w:eastAsia="Times New Roman" w:hAnsi="Times New Roman" w:cs="Times New Roman"/>
          <w:sz w:val="24"/>
          <w:szCs w:val="24"/>
        </w:rPr>
        <w:t xml:space="preserve"> </w:t>
      </w:r>
      <w:r w:rsidDel="00154841">
        <w:rPr>
          <w:rFonts w:ascii="Times New Roman" w:eastAsia="Times New Roman" w:hAnsi="Times New Roman" w:cs="Times New Roman"/>
          <w:sz w:val="24"/>
          <w:szCs w:val="24"/>
        </w:rPr>
        <w:t xml:space="preserve">residential housing in the area. </w:t>
      </w:r>
    </w:p>
    <w:bookmarkEnd w:id="15"/>
    <w:p w14:paraId="294B7508" w14:textId="54E23A4F" w:rsidR="00A04000"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Moreover, it is very difficult to disentangle discriminatory stereotypes about social assistance recipients, single mothers, racialized groups or newcomers living in substandard housing from stereotypes linked to poverty and to living</w:t>
      </w:r>
      <w:r w:rsidR="009E3D0C">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substandard housing. It is obvious that if a developer replaces substandard low rent housing with luxury housing, this “nicer” neighbourhood will not be one in which most single mothers on social assistance or low-income racialized tenants will be able to </w:t>
      </w:r>
      <w:r w:rsidR="009E3D0C">
        <w:rPr>
          <w:rFonts w:ascii="Times New Roman" w:eastAsia="Times New Roman" w:hAnsi="Times New Roman" w:cs="Times New Roman"/>
          <w:sz w:val="24"/>
          <w:szCs w:val="24"/>
        </w:rPr>
        <w:t>afford</w:t>
      </w:r>
      <w:r>
        <w:rPr>
          <w:rFonts w:ascii="Times New Roman" w:eastAsia="Times New Roman" w:hAnsi="Times New Roman" w:cs="Times New Roman"/>
          <w:sz w:val="24"/>
          <w:szCs w:val="24"/>
        </w:rPr>
        <w:t xml:space="preserve">. </w:t>
      </w:r>
      <w:r w:rsidR="00D22CDD">
        <w:rPr>
          <w:rFonts w:ascii="Times New Roman" w:eastAsia="Times New Roman" w:hAnsi="Times New Roman" w:cs="Times New Roman"/>
          <w:sz w:val="24"/>
          <w:szCs w:val="24"/>
        </w:rPr>
        <w:t>In the context of such embedded patterns of systemic discrimination, prejudice and stereotype linked to housing deprivation, i</w:t>
      </w:r>
      <w:r>
        <w:rPr>
          <w:rFonts w:ascii="Times New Roman" w:eastAsia="Times New Roman" w:hAnsi="Times New Roman" w:cs="Times New Roman"/>
          <w:sz w:val="24"/>
          <w:szCs w:val="24"/>
        </w:rPr>
        <w:t xml:space="preserve">t becomes difficult to identify what is discriminatory </w:t>
      </w:r>
      <w:r w:rsidR="00B06EB2">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intent</w:t>
      </w:r>
      <w:r w:rsidR="00B06EB2">
        <w:rPr>
          <w:rFonts w:ascii="Times New Roman" w:eastAsia="Times New Roman" w:hAnsi="Times New Roman" w:cs="Times New Roman"/>
          <w:sz w:val="24"/>
          <w:szCs w:val="24"/>
        </w:rPr>
        <w:t xml:space="preserve"> or effect</w:t>
      </w:r>
      <w:r>
        <w:rPr>
          <w:rFonts w:ascii="Times New Roman" w:eastAsia="Times New Roman" w:hAnsi="Times New Roman" w:cs="Times New Roman"/>
          <w:sz w:val="24"/>
          <w:szCs w:val="24"/>
        </w:rPr>
        <w:t>.</w:t>
      </w:r>
    </w:p>
    <w:p w14:paraId="4ED569B4" w14:textId="55173219" w:rsidR="00A04000"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important to be clear that the Code applies to the differential </w:t>
      </w:r>
      <w:r>
        <w:rPr>
          <w:rFonts w:ascii="Times New Roman" w:eastAsia="Times New Roman" w:hAnsi="Times New Roman" w:cs="Times New Roman"/>
          <w:i/>
          <w:sz w:val="24"/>
          <w:szCs w:val="24"/>
        </w:rPr>
        <w:t>effect</w:t>
      </w:r>
      <w:r>
        <w:rPr>
          <w:rFonts w:ascii="Times New Roman" w:eastAsia="Times New Roman" w:hAnsi="Times New Roman" w:cs="Times New Roman"/>
          <w:sz w:val="24"/>
          <w:szCs w:val="24"/>
        </w:rPr>
        <w:t xml:space="preserve"> of upgrading or development plans, even if there is no evidence of differential treatment</w:t>
      </w:r>
      <w:r w:rsidR="00D22C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22CDD">
        <w:rPr>
          <w:rFonts w:ascii="Times New Roman" w:eastAsia="Times New Roman" w:hAnsi="Times New Roman" w:cs="Times New Roman"/>
          <w:sz w:val="24"/>
          <w:szCs w:val="24"/>
        </w:rPr>
        <w:t xml:space="preserve">discriminatory intent or prejudice </w:t>
      </w:r>
      <w:r>
        <w:rPr>
          <w:rFonts w:ascii="Times New Roman" w:eastAsia="Times New Roman" w:hAnsi="Times New Roman" w:cs="Times New Roman"/>
          <w:sz w:val="24"/>
          <w:szCs w:val="24"/>
        </w:rPr>
        <w:t xml:space="preserve">based on prohibited grounds. </w:t>
      </w:r>
      <w:r w:rsidR="00D22CD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t is also important to be clear that the Code does not prevent or discourage upgrading of substandard housing or intensification in order to produce more housing. It is reasonable and even laudable </w:t>
      </w:r>
      <w:r w:rsidR="00F33E6B">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cities </w:t>
      </w:r>
      <w:r w:rsidR="00F33E6B">
        <w:rPr>
          <w:rFonts w:ascii="Times New Roman" w:eastAsia="Times New Roman" w:hAnsi="Times New Roman" w:cs="Times New Roman"/>
          <w:sz w:val="24"/>
          <w:szCs w:val="24"/>
        </w:rPr>
        <w:t>to want</w:t>
      </w:r>
      <w:r>
        <w:rPr>
          <w:rFonts w:ascii="Times New Roman" w:eastAsia="Times New Roman" w:hAnsi="Times New Roman" w:cs="Times New Roman"/>
          <w:sz w:val="24"/>
          <w:szCs w:val="24"/>
        </w:rPr>
        <w:t xml:space="preserve"> to </w:t>
      </w:r>
      <w:r w:rsidR="00D22CDD">
        <w:rPr>
          <w:rFonts w:ascii="Times New Roman" w:eastAsia="Times New Roman" w:hAnsi="Times New Roman" w:cs="Times New Roman"/>
          <w:sz w:val="24"/>
          <w:szCs w:val="24"/>
        </w:rPr>
        <w:t xml:space="preserve">improve </w:t>
      </w:r>
      <w:r>
        <w:rPr>
          <w:rFonts w:ascii="Times New Roman" w:eastAsia="Times New Roman" w:hAnsi="Times New Roman" w:cs="Times New Roman"/>
          <w:sz w:val="24"/>
          <w:szCs w:val="24"/>
        </w:rPr>
        <w:t>substandard housing</w:t>
      </w:r>
      <w:r w:rsidR="007601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it is reasonable </w:t>
      </w:r>
      <w:r w:rsidR="007601E0">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developers </w:t>
      </w:r>
      <w:r w:rsidR="007601E0">
        <w:rPr>
          <w:rFonts w:ascii="Times New Roman" w:eastAsia="Times New Roman" w:hAnsi="Times New Roman" w:cs="Times New Roman"/>
          <w:sz w:val="24"/>
          <w:szCs w:val="24"/>
        </w:rPr>
        <w:t>to want</w:t>
      </w:r>
      <w:r>
        <w:rPr>
          <w:rFonts w:ascii="Times New Roman" w:eastAsia="Times New Roman" w:hAnsi="Times New Roman" w:cs="Times New Roman"/>
          <w:sz w:val="24"/>
          <w:szCs w:val="24"/>
        </w:rPr>
        <w:t xml:space="preserve"> to purchase housing in need of upgrading with the intention of improving or replacing it with better quality housing</w:t>
      </w:r>
      <w:r w:rsidR="00D22CDD">
        <w:rPr>
          <w:rFonts w:ascii="Times New Roman" w:eastAsia="Times New Roman" w:hAnsi="Times New Roman" w:cs="Times New Roman"/>
          <w:sz w:val="24"/>
          <w:szCs w:val="24"/>
        </w:rPr>
        <w:t xml:space="preserve">, to </w:t>
      </w:r>
      <w:r w:rsidR="003E65EB">
        <w:rPr>
          <w:rFonts w:ascii="Times New Roman" w:eastAsia="Times New Roman" w:hAnsi="Times New Roman" w:cs="Times New Roman"/>
          <w:sz w:val="24"/>
          <w:szCs w:val="24"/>
        </w:rPr>
        <w:t xml:space="preserve">realize </w:t>
      </w:r>
      <w:r w:rsidR="00D22CDD">
        <w:rPr>
          <w:rFonts w:ascii="Times New Roman" w:eastAsia="Times New Roman" w:hAnsi="Times New Roman" w:cs="Times New Roman"/>
          <w:sz w:val="24"/>
          <w:szCs w:val="24"/>
        </w:rPr>
        <w:t>a profit</w:t>
      </w:r>
      <w:r>
        <w:rPr>
          <w:rFonts w:ascii="Times New Roman" w:eastAsia="Times New Roman" w:hAnsi="Times New Roman" w:cs="Times New Roman"/>
          <w:sz w:val="24"/>
          <w:szCs w:val="24"/>
        </w:rPr>
        <w:t xml:space="preserve">. As </w:t>
      </w:r>
      <w:r w:rsidR="00465891">
        <w:rPr>
          <w:rFonts w:ascii="Times New Roman" w:eastAsia="Times New Roman" w:hAnsi="Times New Roman" w:cs="Times New Roman"/>
          <w:sz w:val="24"/>
          <w:szCs w:val="24"/>
        </w:rPr>
        <w:t xml:space="preserve">city </w:t>
      </w:r>
      <w:r>
        <w:rPr>
          <w:rFonts w:ascii="Times New Roman" w:eastAsia="Times New Roman" w:hAnsi="Times New Roman" w:cs="Times New Roman"/>
          <w:sz w:val="24"/>
          <w:szCs w:val="24"/>
        </w:rPr>
        <w:t xml:space="preserve">populations grow and the need for housing increases, development plans will </w:t>
      </w:r>
      <w:r w:rsidR="00FF2AEA">
        <w:rPr>
          <w:rFonts w:ascii="Times New Roman" w:eastAsia="Times New Roman" w:hAnsi="Times New Roman" w:cs="Times New Roman"/>
          <w:sz w:val="24"/>
          <w:szCs w:val="24"/>
        </w:rPr>
        <w:t xml:space="preserve">no doubt seek to </w:t>
      </w:r>
      <w:r>
        <w:rPr>
          <w:rFonts w:ascii="Times New Roman" w:eastAsia="Times New Roman" w:hAnsi="Times New Roman" w:cs="Times New Roman"/>
          <w:sz w:val="24"/>
          <w:szCs w:val="24"/>
        </w:rPr>
        <w:t xml:space="preserve">replace less intensive residential housing with more intensive uses. </w:t>
      </w:r>
    </w:p>
    <w:p w14:paraId="67825329" w14:textId="721C20B8" w:rsidR="00B775D9"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Code’s guarantee of equal treatment with respect to housing accommodation should not restrict the ability of municipalities to improve communities or prevent them from approving the development of more intensive residential development, even in areas disproportionately occupied by Code-protected groups. Rather, the Code should ensure that the needs of protected groups are accommodated so </w:t>
      </w:r>
      <w:r w:rsidR="00BD6D45">
        <w:rPr>
          <w:rFonts w:ascii="Times New Roman" w:eastAsia="Times New Roman" w:hAnsi="Times New Roman" w:cs="Times New Roman"/>
          <w:sz w:val="24"/>
          <w:szCs w:val="24"/>
        </w:rPr>
        <w:t>that any</w:t>
      </w:r>
      <w:r>
        <w:rPr>
          <w:rFonts w:ascii="Times New Roman" w:eastAsia="Times New Roman" w:hAnsi="Times New Roman" w:cs="Times New Roman"/>
          <w:sz w:val="24"/>
          <w:szCs w:val="24"/>
        </w:rPr>
        <w:t xml:space="preserve"> potentially discriminatory effects </w:t>
      </w:r>
      <w:r w:rsidR="00BD6D45">
        <w:rPr>
          <w:rFonts w:ascii="Times New Roman" w:eastAsia="Times New Roman" w:hAnsi="Times New Roman" w:cs="Times New Roman"/>
          <w:sz w:val="24"/>
          <w:szCs w:val="24"/>
        </w:rPr>
        <w:t xml:space="preserve">are eliminated </w:t>
      </w:r>
      <w:r>
        <w:rPr>
          <w:rFonts w:ascii="Times New Roman" w:eastAsia="Times New Roman" w:hAnsi="Times New Roman" w:cs="Times New Roman"/>
          <w:sz w:val="24"/>
          <w:szCs w:val="24"/>
        </w:rPr>
        <w:t xml:space="preserve">and </w:t>
      </w:r>
      <w:r w:rsidR="00884814">
        <w:rPr>
          <w:rFonts w:ascii="Times New Roman" w:eastAsia="Times New Roman" w:hAnsi="Times New Roman" w:cs="Times New Roman"/>
          <w:sz w:val="24"/>
          <w:szCs w:val="24"/>
        </w:rPr>
        <w:t xml:space="preserve">any </w:t>
      </w:r>
      <w:r>
        <w:rPr>
          <w:rFonts w:ascii="Times New Roman" w:eastAsia="Times New Roman" w:hAnsi="Times New Roman" w:cs="Times New Roman"/>
          <w:sz w:val="24"/>
          <w:szCs w:val="24"/>
        </w:rPr>
        <w:t>systemic patterns of inequality in housing</w:t>
      </w:r>
      <w:r w:rsidR="004613F8">
        <w:rPr>
          <w:rFonts w:ascii="Times New Roman" w:eastAsia="Times New Roman" w:hAnsi="Times New Roman" w:cs="Times New Roman"/>
          <w:sz w:val="24"/>
          <w:szCs w:val="24"/>
        </w:rPr>
        <w:t xml:space="preserve"> are mitigated, not exacerbated</w:t>
      </w:r>
      <w:r>
        <w:rPr>
          <w:rFonts w:ascii="Times New Roman" w:eastAsia="Times New Roman" w:hAnsi="Times New Roman" w:cs="Times New Roman"/>
          <w:sz w:val="24"/>
          <w:szCs w:val="24"/>
        </w:rPr>
        <w:t xml:space="preserve">.  </w:t>
      </w:r>
    </w:p>
    <w:p w14:paraId="6C450843" w14:textId="5AA09AFE" w:rsidR="00A04000"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Given the blurred line between direct and adverse effect discrimination in these circumstances, it is important not to lose sight of the primary remedial focus of the human rights inquiry into the discriminatory effects of development based evictions and displacement on Code</w:t>
      </w:r>
      <w:r w:rsidR="0085057D">
        <w:rPr>
          <w:rFonts w:ascii="Times New Roman" w:eastAsia="Times New Roman" w:hAnsi="Times New Roman" w:cs="Times New Roman"/>
          <w:sz w:val="24"/>
          <w:szCs w:val="24"/>
        </w:rPr>
        <w:t>-</w:t>
      </w:r>
      <w:r>
        <w:rPr>
          <w:rFonts w:ascii="Times New Roman" w:eastAsia="Times New Roman" w:hAnsi="Times New Roman" w:cs="Times New Roman"/>
          <w:sz w:val="24"/>
          <w:szCs w:val="24"/>
        </w:rPr>
        <w:t>protected groups and the obligations of developers and municipalities to take reasonable measures to address the</w:t>
      </w:r>
      <w:r w:rsidR="00055FCF">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 even </w:t>
      </w:r>
      <w:r w:rsidR="0085057D">
        <w:rPr>
          <w:rFonts w:ascii="Times New Roman" w:eastAsia="Times New Roman" w:hAnsi="Times New Roman" w:cs="Times New Roman"/>
          <w:sz w:val="24"/>
          <w:szCs w:val="24"/>
        </w:rPr>
        <w:t>where</w:t>
      </w:r>
      <w:r>
        <w:rPr>
          <w:rFonts w:ascii="Times New Roman" w:eastAsia="Times New Roman" w:hAnsi="Times New Roman" w:cs="Times New Roman"/>
          <w:sz w:val="24"/>
          <w:szCs w:val="24"/>
        </w:rPr>
        <w:t xml:space="preserve"> there is no discriminatory intent or evidence of differential treatment based o</w:t>
      </w:r>
      <w:r w:rsidR="0085057D">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prohibited grounds.</w:t>
      </w:r>
    </w:p>
    <w:p w14:paraId="5E66F9EF" w14:textId="77777777" w:rsidR="00AD74F3" w:rsidRDefault="00AD74F3">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p>
    <w:p w14:paraId="3C36F74D" w14:textId="0449E976" w:rsidR="002E0F1F" w:rsidRDefault="004D29F3" w:rsidP="006A2C1B">
      <w:pPr>
        <w:pStyle w:val="Heading2"/>
        <w:numPr>
          <w:ilvl w:val="0"/>
          <w:numId w:val="7"/>
        </w:numPr>
      </w:pPr>
      <w:bookmarkStart w:id="17" w:name="_1t3h5sf" w:colFirst="0" w:colLast="0"/>
      <w:bookmarkStart w:id="18" w:name="_Toc22031123"/>
      <w:bookmarkEnd w:id="17"/>
      <w:r>
        <w:lastRenderedPageBreak/>
        <w:t xml:space="preserve">The </w:t>
      </w:r>
      <w:r w:rsidRPr="006A2C1B">
        <w:t>need</w:t>
      </w:r>
      <w:r>
        <w:t xml:space="preserve"> for a systemic approach</w:t>
      </w:r>
      <w:bookmarkEnd w:id="18"/>
      <w:r>
        <w:t xml:space="preserve"> </w:t>
      </w:r>
    </w:p>
    <w:p w14:paraId="43145FC4" w14:textId="77777777" w:rsidR="00AE56BC" w:rsidRDefault="00094FDC" w:rsidP="00094FDC">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sidRPr="00051103">
        <w:rPr>
          <w:rFonts w:ascii="Times New Roman" w:eastAsia="Times New Roman" w:hAnsi="Times New Roman" w:cs="Times New Roman"/>
          <w:sz w:val="24"/>
          <w:szCs w:val="24"/>
        </w:rPr>
        <w:t>The differential effect on Code-protected groups of the demolition of, or the eviction or displacement from, their homes and communities must be addressed as a serious violation of the Code. Absent meaningful engagement with existing residents and attention to their needs in these c</w:t>
      </w:r>
      <w:r w:rsidR="00104019">
        <w:rPr>
          <w:rFonts w:ascii="Times New Roman" w:eastAsia="Times New Roman" w:hAnsi="Times New Roman" w:cs="Times New Roman"/>
          <w:sz w:val="24"/>
          <w:szCs w:val="24"/>
        </w:rPr>
        <w:t>ircumstances</w:t>
      </w:r>
      <w:r w:rsidRPr="00051103">
        <w:rPr>
          <w:rFonts w:ascii="Times New Roman" w:eastAsia="Times New Roman" w:hAnsi="Times New Roman" w:cs="Times New Roman"/>
          <w:sz w:val="24"/>
          <w:szCs w:val="24"/>
        </w:rPr>
        <w:t xml:space="preserve">, evicting residents of low income substandard housing to build and develop more expensive housing which they will not be able to afford, constitutes an unacceptable assault on dignity and equal worth, and imposes severe harms linked to health, well-being, family cohesion and even the protection of life. </w:t>
      </w:r>
    </w:p>
    <w:p w14:paraId="30DE2215" w14:textId="0AE3A6ED" w:rsidR="006A2C1B" w:rsidRDefault="00094FDC" w:rsidP="006A2C1B">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sidRPr="00051103">
        <w:rPr>
          <w:rFonts w:ascii="Times New Roman" w:eastAsia="Times New Roman" w:hAnsi="Times New Roman" w:cs="Times New Roman"/>
          <w:sz w:val="24"/>
          <w:szCs w:val="24"/>
        </w:rPr>
        <w:t>Municipalities, landlords and developers all have a legal duty to accommodate the needs of Code-protected groups where these groups would be disproportionately and adversely affected by housing upgrading and development, even where there is no evidence of any discriminatory intent, bias or explicit differential treatment based on a prohibited ground.</w:t>
      </w:r>
    </w:p>
    <w:p w14:paraId="7BD6BCD4" w14:textId="24D2510C" w:rsidR="00A04000" w:rsidRPr="006A2C1B" w:rsidRDefault="00082804" w:rsidP="006A2C1B">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sidRPr="006A2C1B">
        <w:rPr>
          <w:rFonts w:ascii="Times New Roman" w:eastAsia="Times New Roman" w:hAnsi="Times New Roman" w:cs="Times New Roman"/>
          <w:sz w:val="24"/>
          <w:szCs w:val="24"/>
        </w:rPr>
        <w:t>T</w:t>
      </w:r>
      <w:r w:rsidR="00BC2D96" w:rsidRPr="006A2C1B">
        <w:rPr>
          <w:rFonts w:ascii="Times New Roman" w:eastAsia="Times New Roman" w:hAnsi="Times New Roman" w:cs="Times New Roman"/>
          <w:sz w:val="24"/>
          <w:szCs w:val="24"/>
        </w:rPr>
        <w:t>o find adverse effect discrimination under the Code, a tribunal must consider whether membership in a Code</w:t>
      </w:r>
      <w:r w:rsidR="0006392A" w:rsidRPr="006A2C1B">
        <w:rPr>
          <w:rFonts w:ascii="Times New Roman" w:eastAsia="Times New Roman" w:hAnsi="Times New Roman" w:cs="Times New Roman"/>
          <w:sz w:val="24"/>
          <w:szCs w:val="24"/>
        </w:rPr>
        <w:t>-</w:t>
      </w:r>
      <w:r w:rsidR="00BC2D96" w:rsidRPr="006A2C1B">
        <w:rPr>
          <w:rFonts w:ascii="Times New Roman" w:eastAsia="Times New Roman" w:hAnsi="Times New Roman" w:cs="Times New Roman"/>
          <w:sz w:val="24"/>
          <w:szCs w:val="24"/>
        </w:rPr>
        <w:t>protected group is a factor in the adverse impact.</w:t>
      </w:r>
      <w:r w:rsidR="00BC2D96" w:rsidRPr="006A2C1B">
        <w:rPr>
          <w:rFonts w:ascii="Times New Roman" w:eastAsia="Times New Roman" w:hAnsi="Times New Roman" w:cs="Times New Roman"/>
          <w:sz w:val="24"/>
          <w:szCs w:val="24"/>
        </w:rPr>
        <w:footnoteReference w:id="17"/>
      </w:r>
      <w:r w:rsidR="00BC2D96" w:rsidRPr="006A2C1B">
        <w:rPr>
          <w:rFonts w:ascii="Times New Roman" w:eastAsia="Times New Roman" w:hAnsi="Times New Roman" w:cs="Times New Roman"/>
          <w:sz w:val="24"/>
          <w:szCs w:val="24"/>
        </w:rPr>
        <w:t xml:space="preserve"> The Kearney decision provides critical guidance about how to consider this question in the context of systemic patterns of discrimination in the rental housing market. It established that even if the adverse effects of policies or factors appear “neutral” because they are linked to income status rather than to an enumerated ground, the effects are intimately tied to discriminatory stereotypes and systemic discrimination experienced by Code-protected groups in housing</w:t>
      </w:r>
      <w:r w:rsidR="00665C2F" w:rsidRPr="006A2C1B">
        <w:rPr>
          <w:rFonts w:ascii="Times New Roman" w:eastAsia="Times New Roman" w:hAnsi="Times New Roman" w:cs="Times New Roman"/>
          <w:sz w:val="24"/>
          <w:szCs w:val="24"/>
        </w:rPr>
        <w:t>,</w:t>
      </w:r>
      <w:r w:rsidR="00BC2D96" w:rsidRPr="006A2C1B">
        <w:rPr>
          <w:rFonts w:ascii="Times New Roman" w:eastAsia="Times New Roman" w:hAnsi="Times New Roman" w:cs="Times New Roman"/>
          <w:sz w:val="24"/>
          <w:szCs w:val="24"/>
        </w:rPr>
        <w:t xml:space="preserve"> and therefore are prima facie discriminatory on a range of prohibited grounds. </w:t>
      </w:r>
    </w:p>
    <w:p w14:paraId="140FCC88" w14:textId="2C879111" w:rsidR="002E0F1F" w:rsidRDefault="00BC2D96" w:rsidP="002E0F1F">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Rather than restricting its analysis to the adverse effect of a business practice on one particular group, based on a single prohibited ground, the Ontario Board of Inquiry (</w:t>
      </w:r>
      <w:r w:rsidR="00661F6D">
        <w:rPr>
          <w:rFonts w:ascii="Times New Roman" w:eastAsia="Times New Roman" w:hAnsi="Times New Roman" w:cs="Times New Roman"/>
          <w:sz w:val="24"/>
          <w:szCs w:val="24"/>
        </w:rPr>
        <w:t>“</w:t>
      </w:r>
      <w:r>
        <w:rPr>
          <w:rFonts w:ascii="Times New Roman" w:eastAsia="Times New Roman" w:hAnsi="Times New Roman" w:cs="Times New Roman"/>
          <w:sz w:val="24"/>
          <w:szCs w:val="24"/>
        </w:rPr>
        <w:t>Board</w:t>
      </w:r>
      <w:r w:rsidR="00661F6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E0F1F">
        <w:rPr>
          <w:rFonts w:ascii="Times New Roman" w:eastAsia="Times New Roman" w:hAnsi="Times New Roman" w:cs="Times New Roman"/>
          <w:sz w:val="24"/>
          <w:szCs w:val="24"/>
        </w:rPr>
        <w:t xml:space="preserve">(upheld by </w:t>
      </w:r>
      <w:r w:rsidR="002E0F1F" w:rsidRPr="00803EC0">
        <w:rPr>
          <w:rFonts w:ascii="Times New Roman" w:eastAsia="Times New Roman" w:hAnsi="Times New Roman" w:cs="Times New Roman"/>
          <w:sz w:val="24"/>
          <w:szCs w:val="24"/>
        </w:rPr>
        <w:t>the</w:t>
      </w:r>
      <w:r w:rsidRPr="00803EC0">
        <w:rPr>
          <w:rFonts w:ascii="Times New Roman" w:eastAsia="Times New Roman" w:hAnsi="Times New Roman" w:cs="Times New Roman"/>
          <w:sz w:val="24"/>
          <w:szCs w:val="24"/>
        </w:rPr>
        <w:t xml:space="preserve"> Divisional Court</w:t>
      </w:r>
      <w:r w:rsidR="002E0F1F" w:rsidRPr="00803E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Kearney</w:t>
      </w:r>
      <w:r>
        <w:rPr>
          <w:rFonts w:ascii="Times New Roman" w:eastAsia="Times New Roman" w:hAnsi="Times New Roman" w:cs="Times New Roman"/>
          <w:sz w:val="24"/>
          <w:szCs w:val="24"/>
        </w:rPr>
        <w:t xml:space="preserve"> recognized low income or poverty as a dominant characteristic shared by a range of groups protected from discrimination in rental housing, including social assistance recipients, women, young people, recent immigrants and refugees, single parents and racialized persons. This allowed for a systemic approach that addressed the effects of income-based discrimination in its general application rather than considering Code compliance on</w:t>
      </w:r>
      <w:r w:rsidR="007C31D2">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case by case basis. </w:t>
      </w:r>
    </w:p>
    <w:p w14:paraId="781705AD" w14:textId="5D9F2983" w:rsidR="00A04000" w:rsidRDefault="002E0F1F" w:rsidP="002E0F1F">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bookmarkStart w:id="19" w:name="_Hlk21958650"/>
      <w:r>
        <w:rPr>
          <w:rFonts w:ascii="Times New Roman" w:eastAsia="Times New Roman" w:hAnsi="Times New Roman" w:cs="Times New Roman"/>
          <w:sz w:val="24"/>
          <w:szCs w:val="24"/>
        </w:rPr>
        <w:t>Notably,</w:t>
      </w:r>
      <w:r w:rsidR="00BC2D96">
        <w:rPr>
          <w:rFonts w:ascii="Times New Roman" w:eastAsia="Times New Roman" w:hAnsi="Times New Roman" w:cs="Times New Roman"/>
          <w:sz w:val="24"/>
          <w:szCs w:val="24"/>
        </w:rPr>
        <w:t xml:space="preserve"> </w:t>
      </w:r>
      <w:r w:rsidR="007109E7">
        <w:rPr>
          <w:rFonts w:ascii="Times New Roman" w:eastAsia="Times New Roman" w:hAnsi="Times New Roman" w:cs="Times New Roman"/>
          <w:sz w:val="24"/>
          <w:szCs w:val="24"/>
        </w:rPr>
        <w:t xml:space="preserve">the </w:t>
      </w:r>
      <w:r w:rsidR="00BC2D96">
        <w:rPr>
          <w:rFonts w:ascii="Times New Roman" w:eastAsia="Times New Roman" w:hAnsi="Times New Roman" w:cs="Times New Roman"/>
          <w:sz w:val="24"/>
          <w:szCs w:val="24"/>
        </w:rPr>
        <w:t>Board</w:t>
      </w:r>
      <w:r>
        <w:rPr>
          <w:rFonts w:ascii="Times New Roman" w:eastAsia="Times New Roman" w:hAnsi="Times New Roman" w:cs="Times New Roman"/>
          <w:sz w:val="24"/>
          <w:szCs w:val="24"/>
        </w:rPr>
        <w:t xml:space="preserve"> did not </w:t>
      </w:r>
      <w:r w:rsidR="00BC6071">
        <w:rPr>
          <w:rFonts w:ascii="Times New Roman" w:eastAsia="Times New Roman" w:hAnsi="Times New Roman" w:cs="Times New Roman"/>
          <w:sz w:val="24"/>
          <w:szCs w:val="24"/>
        </w:rPr>
        <w:t>order</w:t>
      </w:r>
      <w:r w:rsidR="00E006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w:t>
      </w:r>
      <w:r w:rsidR="00BC2D96">
        <w:rPr>
          <w:rFonts w:ascii="Times New Roman" w:eastAsia="Times New Roman" w:hAnsi="Times New Roman" w:cs="Times New Roman"/>
          <w:sz w:val="24"/>
          <w:szCs w:val="24"/>
        </w:rPr>
        <w:t xml:space="preserve"> landlords </w:t>
      </w:r>
      <w:r>
        <w:rPr>
          <w:rFonts w:ascii="Times New Roman" w:eastAsia="Times New Roman" w:hAnsi="Times New Roman" w:cs="Times New Roman"/>
          <w:sz w:val="24"/>
          <w:szCs w:val="24"/>
        </w:rPr>
        <w:t>must</w:t>
      </w:r>
      <w:r w:rsidR="00BC6071">
        <w:rPr>
          <w:rFonts w:ascii="Times New Roman" w:eastAsia="Times New Roman" w:hAnsi="Times New Roman" w:cs="Times New Roman"/>
          <w:sz w:val="24"/>
          <w:szCs w:val="24"/>
        </w:rPr>
        <w:t xml:space="preserve"> </w:t>
      </w:r>
      <w:r w:rsidR="00BC2D96">
        <w:rPr>
          <w:rFonts w:ascii="Times New Roman" w:eastAsia="Times New Roman" w:hAnsi="Times New Roman" w:cs="Times New Roman"/>
          <w:sz w:val="24"/>
          <w:szCs w:val="24"/>
        </w:rPr>
        <w:t xml:space="preserve">determine </w:t>
      </w:r>
      <w:r w:rsidR="00137CF7">
        <w:rPr>
          <w:rFonts w:ascii="Times New Roman" w:eastAsia="Times New Roman" w:hAnsi="Times New Roman" w:cs="Times New Roman"/>
          <w:sz w:val="24"/>
          <w:szCs w:val="24"/>
        </w:rPr>
        <w:t xml:space="preserve">whether </w:t>
      </w:r>
      <w:r w:rsidR="00D171E9">
        <w:rPr>
          <w:rFonts w:ascii="Times New Roman" w:eastAsia="Times New Roman" w:hAnsi="Times New Roman" w:cs="Times New Roman"/>
          <w:sz w:val="24"/>
          <w:szCs w:val="24"/>
        </w:rPr>
        <w:t xml:space="preserve">an </w:t>
      </w:r>
      <w:r w:rsidR="00BC2D96">
        <w:rPr>
          <w:rFonts w:ascii="Times New Roman" w:eastAsia="Times New Roman" w:hAnsi="Times New Roman" w:cs="Times New Roman"/>
          <w:sz w:val="24"/>
          <w:szCs w:val="24"/>
        </w:rPr>
        <w:t xml:space="preserve">individual prospective tenant belongs to a Code-protected group and if so, </w:t>
      </w:r>
      <w:r w:rsidR="004E68F4">
        <w:rPr>
          <w:rFonts w:ascii="Times New Roman" w:eastAsia="Times New Roman" w:hAnsi="Times New Roman" w:cs="Times New Roman"/>
          <w:sz w:val="24"/>
          <w:szCs w:val="24"/>
        </w:rPr>
        <w:t xml:space="preserve">to </w:t>
      </w:r>
      <w:r w:rsidR="00BC2D96">
        <w:rPr>
          <w:rFonts w:ascii="Times New Roman" w:eastAsia="Times New Roman" w:hAnsi="Times New Roman" w:cs="Times New Roman"/>
          <w:sz w:val="24"/>
          <w:szCs w:val="24"/>
        </w:rPr>
        <w:t xml:space="preserve">assess the adverse effect of income-based discrimination on that ground and </w:t>
      </w:r>
      <w:r w:rsidR="000E0F36">
        <w:rPr>
          <w:rFonts w:ascii="Times New Roman" w:eastAsia="Times New Roman" w:hAnsi="Times New Roman" w:cs="Times New Roman"/>
          <w:sz w:val="24"/>
          <w:szCs w:val="24"/>
        </w:rPr>
        <w:t xml:space="preserve">then </w:t>
      </w:r>
      <w:r w:rsidR="00BC2D96">
        <w:rPr>
          <w:rFonts w:ascii="Times New Roman" w:eastAsia="Times New Roman" w:hAnsi="Times New Roman" w:cs="Times New Roman"/>
          <w:sz w:val="24"/>
          <w:szCs w:val="24"/>
        </w:rPr>
        <w:t>adjust or relinquish the use of income criteria</w:t>
      </w:r>
      <w:r>
        <w:rPr>
          <w:rFonts w:ascii="Times New Roman" w:eastAsia="Times New Roman" w:hAnsi="Times New Roman" w:cs="Times New Roman"/>
          <w:sz w:val="24"/>
          <w:szCs w:val="24"/>
        </w:rPr>
        <w:t xml:space="preserve"> accordingly.</w:t>
      </w:r>
      <w:r w:rsidR="00BC2D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Rather, t</w:t>
      </w:r>
      <w:r w:rsidR="00BC2D96">
        <w:rPr>
          <w:rFonts w:ascii="Times New Roman" w:eastAsia="Times New Roman" w:hAnsi="Times New Roman" w:cs="Times New Roman"/>
          <w:sz w:val="24"/>
          <w:szCs w:val="24"/>
        </w:rPr>
        <w:t>he Board considered the systemic evidence of the adverse effect of income-based tenant selection as a business practice on Code-protected groups in general, and made a remedial order that applies to the consideration of all applications for tenancies from lower income tenants in order to remedy th</w:t>
      </w:r>
      <w:r w:rsidR="00E00643">
        <w:rPr>
          <w:rFonts w:ascii="Times New Roman" w:eastAsia="Times New Roman" w:hAnsi="Times New Roman" w:cs="Times New Roman"/>
          <w:sz w:val="24"/>
          <w:szCs w:val="24"/>
        </w:rPr>
        <w:t xml:space="preserve">e </w:t>
      </w:r>
      <w:r w:rsidR="00BC2D96">
        <w:rPr>
          <w:rFonts w:ascii="Times New Roman" w:eastAsia="Times New Roman" w:hAnsi="Times New Roman" w:cs="Times New Roman"/>
          <w:sz w:val="24"/>
          <w:szCs w:val="24"/>
        </w:rPr>
        <w:t>systemic discriminatory effect</w:t>
      </w:r>
      <w:r w:rsidR="00E00643">
        <w:rPr>
          <w:rFonts w:ascii="Times New Roman" w:eastAsia="Times New Roman" w:hAnsi="Times New Roman" w:cs="Times New Roman"/>
          <w:sz w:val="24"/>
          <w:szCs w:val="24"/>
        </w:rPr>
        <w:t>s</w:t>
      </w:r>
      <w:r w:rsidR="00BC2D96">
        <w:rPr>
          <w:rFonts w:ascii="Times New Roman" w:eastAsia="Times New Roman" w:hAnsi="Times New Roman" w:cs="Times New Roman"/>
          <w:sz w:val="24"/>
          <w:szCs w:val="24"/>
        </w:rPr>
        <w:t>.</w:t>
      </w:r>
      <w:r w:rsidR="00E00643">
        <w:rPr>
          <w:rFonts w:ascii="Times New Roman" w:eastAsia="Times New Roman" w:hAnsi="Times New Roman" w:cs="Times New Roman"/>
          <w:sz w:val="24"/>
          <w:szCs w:val="24"/>
        </w:rPr>
        <w:t xml:space="preserve"> </w:t>
      </w:r>
    </w:p>
    <w:bookmarkEnd w:id="19"/>
    <w:p w14:paraId="542DD5B4" w14:textId="301A7106" w:rsidR="00E56AF9"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similar systemic approach should be taken in clarifying the obligations of municipalities and developers proposing to demolish or upgrade existing lower rent residential communities. The precise nature of the adverse effect of such practices will vary from case to case but the systemic pattern is universal. </w:t>
      </w:r>
    </w:p>
    <w:p w14:paraId="2641B702" w14:textId="01516735" w:rsidR="00A04000"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The impugned discriminatory </w:t>
      </w:r>
      <w:r w:rsidR="00E56AF9">
        <w:rPr>
          <w:rFonts w:ascii="Times New Roman" w:eastAsia="Times New Roman" w:hAnsi="Times New Roman" w:cs="Times New Roman"/>
          <w:sz w:val="24"/>
          <w:szCs w:val="24"/>
        </w:rPr>
        <w:t xml:space="preserve">business </w:t>
      </w:r>
      <w:r>
        <w:rPr>
          <w:rFonts w:ascii="Times New Roman" w:eastAsia="Times New Roman" w:hAnsi="Times New Roman" w:cs="Times New Roman"/>
          <w:sz w:val="24"/>
          <w:szCs w:val="24"/>
        </w:rPr>
        <w:t xml:space="preserve">practice considered here is </w:t>
      </w:r>
      <w:r w:rsidR="00E56AF9">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of evicting and displacing existing residents to demolish or upgrade low rent, substandard housing </w:t>
      </w:r>
      <w:r>
        <w:rPr>
          <w:rFonts w:ascii="Times New Roman" w:eastAsia="Times New Roman" w:hAnsi="Times New Roman" w:cs="Times New Roman"/>
          <w:i/>
          <w:sz w:val="24"/>
          <w:szCs w:val="24"/>
        </w:rPr>
        <w:t xml:space="preserve">without taking reasonable measures to accommodate the needs of existing </w:t>
      </w:r>
      <w:r w:rsidR="008660D1">
        <w:rPr>
          <w:rFonts w:ascii="Times New Roman" w:eastAsia="Times New Roman" w:hAnsi="Times New Roman" w:cs="Times New Roman"/>
          <w:i/>
          <w:sz w:val="24"/>
          <w:szCs w:val="24"/>
        </w:rPr>
        <w:t xml:space="preserve">Code-protected </w:t>
      </w:r>
      <w:r>
        <w:rPr>
          <w:rFonts w:ascii="Times New Roman" w:eastAsia="Times New Roman" w:hAnsi="Times New Roman" w:cs="Times New Roman"/>
          <w:i/>
          <w:sz w:val="24"/>
          <w:szCs w:val="24"/>
        </w:rPr>
        <w:t>residents</w:t>
      </w:r>
      <w:r>
        <w:rPr>
          <w:rFonts w:ascii="Times New Roman" w:eastAsia="Times New Roman" w:hAnsi="Times New Roman" w:cs="Times New Roman"/>
          <w:sz w:val="24"/>
          <w:szCs w:val="24"/>
        </w:rPr>
        <w:t>. In other words, it is not the upgrading or development per se that violates the Code.  It is the manner in which the upgrading and development is carried out, without due regard for existing residents, that creates the discriminatory effect on a range of Code-protected groups.</w:t>
      </w:r>
    </w:p>
    <w:p w14:paraId="779D5C3A" w14:textId="1B5D61D8" w:rsidR="00A04000" w:rsidRDefault="00BC2D96" w:rsidP="006A2C1B">
      <w:pPr>
        <w:pStyle w:val="Heading2"/>
        <w:numPr>
          <w:ilvl w:val="0"/>
          <w:numId w:val="7"/>
        </w:numPr>
      </w:pPr>
      <w:bookmarkStart w:id="20" w:name="_4d34og8" w:colFirst="0" w:colLast="0"/>
      <w:bookmarkStart w:id="21" w:name="_Toc22031124"/>
      <w:bookmarkEnd w:id="20"/>
      <w:r>
        <w:t xml:space="preserve">The </w:t>
      </w:r>
      <w:r w:rsidR="00D07757" w:rsidRPr="006A2C1B">
        <w:t>d</w:t>
      </w:r>
      <w:r w:rsidRPr="006A2C1B">
        <w:t>ifferential</w:t>
      </w:r>
      <w:r>
        <w:t xml:space="preserve"> </w:t>
      </w:r>
      <w:r w:rsidR="00292E75">
        <w:t>i</w:t>
      </w:r>
      <w:r>
        <w:t>mpact is more than just statistical</w:t>
      </w:r>
      <w:bookmarkEnd w:id="21"/>
    </w:p>
    <w:p w14:paraId="0FA1F431" w14:textId="07F63F4D" w:rsidR="00EE4B47"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Courts have cautioned that statistical disproportionality alone does not necessarily establish </w:t>
      </w:r>
      <w:r>
        <w:rPr>
          <w:rFonts w:ascii="Times New Roman" w:eastAsia="Times New Roman" w:hAnsi="Times New Roman" w:cs="Times New Roman"/>
          <w:i/>
          <w:sz w:val="24"/>
          <w:szCs w:val="24"/>
        </w:rPr>
        <w:t>prima facie</w:t>
      </w:r>
      <w:r>
        <w:rPr>
          <w:rFonts w:ascii="Times New Roman" w:eastAsia="Times New Roman" w:hAnsi="Times New Roman" w:cs="Times New Roman"/>
          <w:sz w:val="24"/>
          <w:szCs w:val="24"/>
        </w:rPr>
        <w:t xml:space="preserve"> adverse effect discrimination. There must be a connection between the Code-protected characteristic and the discriminatory effect of the impugned practice or policy. As the Supreme Court</w:t>
      </w:r>
      <w:r w:rsidR="005456A6">
        <w:rPr>
          <w:rFonts w:ascii="Times New Roman" w:eastAsia="Times New Roman" w:hAnsi="Times New Roman" w:cs="Times New Roman"/>
          <w:sz w:val="24"/>
          <w:szCs w:val="24"/>
        </w:rPr>
        <w:t xml:space="preserve"> stated</w:t>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Moore</w:t>
      </w:r>
      <w:r>
        <w:rPr>
          <w:rFonts w:ascii="Times New Roman" w:eastAsia="Times New Roman" w:hAnsi="Times New Roman" w:cs="Times New Roman"/>
          <w:sz w:val="24"/>
          <w:szCs w:val="24"/>
        </w:rPr>
        <w:t>, the complainant must establish that “the protected characteristic was a factor in the adverse impact.”</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w:t>
      </w:r>
    </w:p>
    <w:p w14:paraId="63D4EDE7" w14:textId="179B870F" w:rsidR="00A04000" w:rsidRDefault="008C5AB4">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BC2D96">
        <w:rPr>
          <w:rFonts w:ascii="Times New Roman" w:eastAsia="Times New Roman" w:hAnsi="Times New Roman" w:cs="Times New Roman"/>
          <w:sz w:val="24"/>
          <w:szCs w:val="24"/>
        </w:rPr>
        <w:t>n assessing adverse effect discrimination</w:t>
      </w:r>
      <w:r w:rsidR="00561F4A">
        <w:rPr>
          <w:rFonts w:ascii="Times New Roman" w:eastAsia="Times New Roman" w:hAnsi="Times New Roman" w:cs="Times New Roman"/>
          <w:sz w:val="24"/>
          <w:szCs w:val="24"/>
        </w:rPr>
        <w:t>, it is also important</w:t>
      </w:r>
      <w:r w:rsidR="00BC2D96">
        <w:rPr>
          <w:rFonts w:ascii="Times New Roman" w:eastAsia="Times New Roman" w:hAnsi="Times New Roman" w:cs="Times New Roman"/>
          <w:sz w:val="24"/>
          <w:szCs w:val="24"/>
        </w:rPr>
        <w:t xml:space="preserve"> that abstract numbers and statistical analysis not</w:t>
      </w:r>
      <w:r w:rsidR="00E00643">
        <w:rPr>
          <w:rFonts w:ascii="Times New Roman" w:eastAsia="Times New Roman" w:hAnsi="Times New Roman" w:cs="Times New Roman"/>
          <w:sz w:val="24"/>
          <w:szCs w:val="24"/>
        </w:rPr>
        <w:t xml:space="preserve"> </w:t>
      </w:r>
      <w:r w:rsidR="00BC2D96">
        <w:rPr>
          <w:rFonts w:ascii="Times New Roman" w:eastAsia="Times New Roman" w:hAnsi="Times New Roman" w:cs="Times New Roman"/>
          <w:sz w:val="24"/>
          <w:szCs w:val="24"/>
        </w:rPr>
        <w:t xml:space="preserve">displace the lived experience of discrimination. </w:t>
      </w:r>
      <w:bookmarkStart w:id="22" w:name="_Hlk21964091"/>
      <w:r w:rsidR="00E00643">
        <w:rPr>
          <w:rFonts w:ascii="Times New Roman" w:eastAsia="Times New Roman" w:hAnsi="Times New Roman" w:cs="Times New Roman"/>
          <w:sz w:val="24"/>
          <w:szCs w:val="24"/>
        </w:rPr>
        <w:t>T</w:t>
      </w:r>
      <w:r w:rsidR="00BC2D96">
        <w:rPr>
          <w:rFonts w:ascii="Times New Roman" w:eastAsia="Times New Roman" w:hAnsi="Times New Roman" w:cs="Times New Roman"/>
          <w:sz w:val="24"/>
          <w:szCs w:val="24"/>
        </w:rPr>
        <w:t xml:space="preserve">he discriminatory effect of development-based displacement that ignores the needs of existing residents is profound. </w:t>
      </w:r>
      <w:r w:rsidR="00F77E35">
        <w:rPr>
          <w:rFonts w:ascii="Times New Roman" w:eastAsia="Times New Roman" w:hAnsi="Times New Roman" w:cs="Times New Roman"/>
          <w:sz w:val="24"/>
          <w:szCs w:val="24"/>
        </w:rPr>
        <w:t>Neglecting the</w:t>
      </w:r>
      <w:r w:rsidR="00BC2D96">
        <w:rPr>
          <w:rFonts w:ascii="Times New Roman" w:eastAsia="Times New Roman" w:hAnsi="Times New Roman" w:cs="Times New Roman"/>
          <w:sz w:val="24"/>
          <w:szCs w:val="24"/>
        </w:rPr>
        <w:t xml:space="preserve"> effects on vulnerable groups and </w:t>
      </w:r>
      <w:r w:rsidR="00F77E35">
        <w:rPr>
          <w:rFonts w:ascii="Times New Roman" w:eastAsia="Times New Roman" w:hAnsi="Times New Roman" w:cs="Times New Roman"/>
          <w:sz w:val="24"/>
          <w:szCs w:val="24"/>
        </w:rPr>
        <w:t>failing</w:t>
      </w:r>
      <w:r w:rsidR="00BC2D96">
        <w:rPr>
          <w:rFonts w:ascii="Times New Roman" w:eastAsia="Times New Roman" w:hAnsi="Times New Roman" w:cs="Times New Roman"/>
          <w:sz w:val="24"/>
          <w:szCs w:val="24"/>
        </w:rPr>
        <w:t xml:space="preserve"> to recognize the value of their communities is itself a marker of unequal treatment and discriminatory stereotyp</w:t>
      </w:r>
      <w:r w:rsidR="003A074D">
        <w:rPr>
          <w:rFonts w:ascii="Times New Roman" w:eastAsia="Times New Roman" w:hAnsi="Times New Roman" w:cs="Times New Roman"/>
          <w:sz w:val="24"/>
          <w:szCs w:val="24"/>
        </w:rPr>
        <w:t>ing</w:t>
      </w:r>
      <w:r w:rsidR="00BC2D96">
        <w:rPr>
          <w:rFonts w:ascii="Times New Roman" w:eastAsia="Times New Roman" w:hAnsi="Times New Roman" w:cs="Times New Roman"/>
          <w:sz w:val="24"/>
          <w:szCs w:val="24"/>
        </w:rPr>
        <w:t xml:space="preserve">.   </w:t>
      </w:r>
    </w:p>
    <w:bookmarkEnd w:id="22"/>
    <w:p w14:paraId="2A1562EA" w14:textId="29D51D41" w:rsidR="00EA76A4"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Being evicted from one’s home, forced out of one’s community, </w:t>
      </w:r>
      <w:r w:rsidR="003A074D">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possibly into homelessness, </w:t>
      </w:r>
      <w:r w:rsidR="00E14E15">
        <w:rPr>
          <w:rFonts w:ascii="Times New Roman" w:eastAsia="Times New Roman" w:hAnsi="Times New Roman" w:cs="Times New Roman"/>
          <w:sz w:val="24"/>
          <w:szCs w:val="24"/>
        </w:rPr>
        <w:t>is one</w:t>
      </w:r>
      <w:r>
        <w:rPr>
          <w:rFonts w:ascii="Times New Roman" w:eastAsia="Times New Roman" w:hAnsi="Times New Roman" w:cs="Times New Roman"/>
          <w:sz w:val="24"/>
          <w:szCs w:val="24"/>
        </w:rPr>
        <w:t xml:space="preserve"> of the most profound harms that can be inflicted in the context of housing discrimination, and the harms are </w:t>
      </w:r>
      <w:r w:rsidR="003B343A">
        <w:rPr>
          <w:rFonts w:ascii="Times New Roman" w:eastAsia="Times New Roman" w:hAnsi="Times New Roman" w:cs="Times New Roman"/>
          <w:sz w:val="24"/>
          <w:szCs w:val="24"/>
        </w:rPr>
        <w:t>multiplied</w:t>
      </w:r>
      <w:r>
        <w:rPr>
          <w:rFonts w:ascii="Times New Roman" w:eastAsia="Times New Roman" w:hAnsi="Times New Roman" w:cs="Times New Roman"/>
          <w:sz w:val="24"/>
          <w:szCs w:val="24"/>
        </w:rPr>
        <w:t xml:space="preserve"> for </w:t>
      </w:r>
      <w:r w:rsidR="003B343A">
        <w:rPr>
          <w:rFonts w:ascii="Times New Roman" w:eastAsia="Times New Roman" w:hAnsi="Times New Roman" w:cs="Times New Roman"/>
          <w:sz w:val="24"/>
          <w:szCs w:val="24"/>
        </w:rPr>
        <w:t xml:space="preserve">many </w:t>
      </w:r>
      <w:r>
        <w:rPr>
          <w:rFonts w:ascii="Times New Roman" w:eastAsia="Times New Roman" w:hAnsi="Times New Roman" w:cs="Times New Roman"/>
          <w:sz w:val="24"/>
          <w:szCs w:val="24"/>
        </w:rPr>
        <w:t xml:space="preserve">Code-protected groups. Women experience differential effects linked to domestic violence. Young people experience severe effects on schooling and social networks. Children are at increased risk of separation from parents. Suicide rates increase for those with mental health challenges. People with disabilities lose critical community supports. </w:t>
      </w:r>
    </w:p>
    <w:p w14:paraId="7AB79925" w14:textId="28AF7BB1" w:rsidR="00A04000"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will be described below, under international law, any eviction </w:t>
      </w:r>
      <w:r w:rsidR="00EE254D">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does not accommodate the needs of vulnerable groups through meaningful engagement, in situ upgrading or alternative accommodation and a right of return to upgraded communities, constitutes a “forced eviction” and is considered a “gross violation of human rights.” It is difficult to imagine that the differential effect of policies or practices that </w:t>
      </w:r>
      <w:r w:rsidR="008A79CD">
        <w:rPr>
          <w:rFonts w:ascii="Times New Roman" w:eastAsia="Times New Roman" w:hAnsi="Times New Roman" w:cs="Times New Roman"/>
          <w:sz w:val="24"/>
          <w:szCs w:val="24"/>
        </w:rPr>
        <w:t xml:space="preserve">disproportionately </w:t>
      </w:r>
      <w:r>
        <w:rPr>
          <w:rFonts w:ascii="Times New Roman" w:eastAsia="Times New Roman" w:hAnsi="Times New Roman" w:cs="Times New Roman"/>
          <w:sz w:val="24"/>
          <w:szCs w:val="24"/>
        </w:rPr>
        <w:t xml:space="preserve">impose these kinds of harms on Code-protected groups could be </w:t>
      </w:r>
      <w:r w:rsidR="005545A5">
        <w:rPr>
          <w:rFonts w:ascii="Times New Roman" w:eastAsia="Times New Roman" w:hAnsi="Times New Roman" w:cs="Times New Roman"/>
          <w:sz w:val="24"/>
          <w:szCs w:val="24"/>
        </w:rPr>
        <w:t>limited to</w:t>
      </w:r>
      <w:r>
        <w:rPr>
          <w:rFonts w:ascii="Times New Roman" w:eastAsia="Times New Roman" w:hAnsi="Times New Roman" w:cs="Times New Roman"/>
          <w:sz w:val="24"/>
          <w:szCs w:val="24"/>
        </w:rPr>
        <w:t xml:space="preserve"> merely </w:t>
      </w:r>
      <w:r w:rsidR="005545A5">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statistical</w:t>
      </w:r>
      <w:r w:rsidR="005545A5">
        <w:rPr>
          <w:rFonts w:ascii="Times New Roman" w:eastAsia="Times New Roman" w:hAnsi="Times New Roman" w:cs="Times New Roman"/>
          <w:sz w:val="24"/>
          <w:szCs w:val="24"/>
        </w:rPr>
        <w:t xml:space="preserve"> analysis</w:t>
      </w:r>
      <w:r>
        <w:rPr>
          <w:rFonts w:ascii="Times New Roman" w:eastAsia="Times New Roman" w:hAnsi="Times New Roman" w:cs="Times New Roman"/>
          <w:sz w:val="24"/>
          <w:szCs w:val="24"/>
        </w:rPr>
        <w:t xml:space="preserve">.  </w:t>
      </w:r>
    </w:p>
    <w:p w14:paraId="591C8EA8" w14:textId="7D735967" w:rsidR="005F366D"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connection between living in substandard housing in marginalized communities </w:t>
      </w:r>
      <w:r w:rsidR="00702C4A">
        <w:rPr>
          <w:rFonts w:ascii="Times New Roman" w:eastAsia="Times New Roman" w:hAnsi="Times New Roman" w:cs="Times New Roman"/>
          <w:sz w:val="24"/>
          <w:szCs w:val="24"/>
        </w:rPr>
        <w:t xml:space="preserve">with </w:t>
      </w:r>
      <w:r>
        <w:rPr>
          <w:rFonts w:ascii="Times New Roman" w:eastAsia="Times New Roman" w:hAnsi="Times New Roman" w:cs="Times New Roman"/>
          <w:sz w:val="24"/>
          <w:szCs w:val="24"/>
        </w:rPr>
        <w:t xml:space="preserve">Code-enumerated characteristics such as race, place of origin, receipt of public assistance or disability, and the way in which stereotypes, prejudice and systemic discrimination </w:t>
      </w:r>
      <w:r w:rsidR="0042349C">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connected to the</w:t>
      </w:r>
      <w:r w:rsidR="003E133B">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neighbourhood</w:t>
      </w:r>
      <w:r w:rsidR="003E13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is a lived reality for Code-protected groups. Indeed, there is perhaps no stronger marker of discriminatory stereotyping in housing than the correlation between substandard neighbourhoods considered “undesirable” or referred to as “ghettos” or “slums”, and the personal characteristics of those who live there, linked to discrimination based on race, disability, receipt of public assistance, marital or family status, sex, creed or sexual orientation. </w:t>
      </w:r>
    </w:p>
    <w:p w14:paraId="707B25A9" w14:textId="4D39AD2B" w:rsidR="00A04000" w:rsidRDefault="005F366D">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Such</w:t>
      </w:r>
      <w:r w:rsidR="00BC2D96">
        <w:rPr>
          <w:rFonts w:ascii="Times New Roman" w:eastAsia="Times New Roman" w:hAnsi="Times New Roman" w:cs="Times New Roman"/>
          <w:sz w:val="24"/>
          <w:szCs w:val="24"/>
        </w:rPr>
        <w:t xml:space="preserve"> areas are considered to be of less value in the real estate market in part because of the marginalized status and stigmatization of </w:t>
      </w:r>
      <w:r>
        <w:rPr>
          <w:rFonts w:ascii="Times New Roman" w:eastAsia="Times New Roman" w:hAnsi="Times New Roman" w:cs="Times New Roman"/>
          <w:sz w:val="24"/>
          <w:szCs w:val="24"/>
        </w:rPr>
        <w:t xml:space="preserve">the </w:t>
      </w:r>
      <w:r w:rsidR="00BC2D96">
        <w:rPr>
          <w:rFonts w:ascii="Times New Roman" w:eastAsia="Times New Roman" w:hAnsi="Times New Roman" w:cs="Times New Roman"/>
          <w:sz w:val="24"/>
          <w:szCs w:val="24"/>
        </w:rPr>
        <w:t xml:space="preserve">groups that disproportionately occupy them. </w:t>
      </w:r>
      <w:r w:rsidR="00BC2D96">
        <w:rPr>
          <w:rFonts w:ascii="Times New Roman" w:eastAsia="Times New Roman" w:hAnsi="Times New Roman" w:cs="Times New Roman"/>
          <w:sz w:val="24"/>
          <w:szCs w:val="24"/>
        </w:rPr>
        <w:lastRenderedPageBreak/>
        <w:t>Policies adopted in relation to their upgrading and development which ignore the needs of existing residents and evict them from their communities without protecting them from homelessness or ensuring a right of return are deeply embedded in the systemic discrimination and stereotypes which force Code-protected groups into substandard housing in the first place.</w:t>
      </w:r>
    </w:p>
    <w:p w14:paraId="3F60C319" w14:textId="51360F05" w:rsidR="00A04000" w:rsidRDefault="00BC2D96">
      <w:pPr>
        <w:pBdr>
          <w:top w:val="nil"/>
          <w:left w:val="nil"/>
          <w:bottom w:val="nil"/>
          <w:right w:val="nil"/>
          <w:between w:val="nil"/>
        </w:pBd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Ontario Court of Appeal held in </w:t>
      </w:r>
      <w:r>
        <w:rPr>
          <w:rFonts w:ascii="Times New Roman" w:eastAsia="Times New Roman" w:hAnsi="Times New Roman" w:cs="Times New Roman"/>
          <w:i/>
          <w:sz w:val="24"/>
          <w:szCs w:val="24"/>
        </w:rPr>
        <w:t>Pieters</w:t>
      </w:r>
      <w:r>
        <w:rPr>
          <w:rFonts w:ascii="Times New Roman" w:eastAsia="Times New Roman" w:hAnsi="Times New Roman" w:cs="Times New Roman"/>
          <w:sz w:val="24"/>
          <w:szCs w:val="24"/>
        </w:rPr>
        <w:t xml:space="preserve">, it is important to distinguish the requirement of a ‘connection’ between </w:t>
      </w:r>
      <w:r w:rsidR="000C0944">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ode-protected characteristics and a policy or practice </w:t>
      </w:r>
      <w:r w:rsidR="00F213E7">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adversely impacts them, from a requirement that the policy or practice be intentionally or directly discriminatory: </w:t>
      </w:r>
    </w:p>
    <w:p w14:paraId="7E2975E9" w14:textId="77777777" w:rsidR="00A04000" w:rsidRDefault="00BC2D96">
      <w:pPr>
        <w:pBdr>
          <w:top w:val="nil"/>
          <w:left w:val="nil"/>
          <w:bottom w:val="nil"/>
          <w:right w:val="nil"/>
          <w:between w:val="nil"/>
        </w:pBd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All that is required is that there be a “connection” between the adverse treatment and the ground of discrimination. The ground of discrimination must somehow be a “factor” in the adverse treatment.</w:t>
      </w:r>
    </w:p>
    <w:p w14:paraId="179D7810" w14:textId="77777777" w:rsidR="00A04000" w:rsidRDefault="00BC2D96">
      <w:pPr>
        <w:pBdr>
          <w:top w:val="nil"/>
          <w:left w:val="nil"/>
          <w:bottom w:val="nil"/>
          <w:right w:val="nil"/>
          <w:between w:val="nil"/>
        </w:pBd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do not think it acceptable, however, to attach the modifier “causal” to “nexus”. Doing so seems to me to elevate the test beyond what the law requires. The Divisional Court’s requirement of a “causal nexus” or a “causal link” between the adverse treatment and a prohibited ground seems counter to the evolution of human rights jurisprudence, which focuses on the discriminatory effects of conduct, rather than on intention and direct cause.</w:t>
      </w:r>
      <w:r>
        <w:rPr>
          <w:rFonts w:ascii="Times New Roman" w:eastAsia="Times New Roman" w:hAnsi="Times New Roman" w:cs="Times New Roman"/>
          <w:sz w:val="24"/>
          <w:szCs w:val="24"/>
          <w:vertAlign w:val="superscript"/>
        </w:rPr>
        <w:footnoteReference w:id="19"/>
      </w:r>
    </w:p>
    <w:p w14:paraId="0F13C094" w14:textId="56C39C5D" w:rsidR="00A04000" w:rsidRDefault="00BC2D96">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522762">
        <w:rPr>
          <w:rFonts w:ascii="Times New Roman" w:eastAsia="Times New Roman" w:hAnsi="Times New Roman" w:cs="Times New Roman"/>
          <w:sz w:val="24"/>
          <w:szCs w:val="24"/>
        </w:rPr>
        <w:t xml:space="preserve">impact of upgrading and development that disregards the needs of existing residents on Code-protected groups </w:t>
      </w:r>
      <w:r>
        <w:rPr>
          <w:rFonts w:ascii="Times New Roman" w:eastAsia="Times New Roman" w:hAnsi="Times New Roman" w:cs="Times New Roman"/>
          <w:sz w:val="24"/>
          <w:szCs w:val="24"/>
        </w:rPr>
        <w:t>is</w:t>
      </w:r>
      <w:r w:rsidR="00522762">
        <w:rPr>
          <w:rFonts w:ascii="Times New Roman" w:eastAsia="Times New Roman" w:hAnsi="Times New Roman" w:cs="Times New Roman"/>
          <w:sz w:val="24"/>
          <w:szCs w:val="24"/>
        </w:rPr>
        <w:t xml:space="preserve"> based on</w:t>
      </w:r>
      <w:r>
        <w:rPr>
          <w:rFonts w:ascii="Times New Roman" w:eastAsia="Times New Roman" w:hAnsi="Times New Roman" w:cs="Times New Roman"/>
          <w:sz w:val="24"/>
          <w:szCs w:val="24"/>
        </w:rPr>
        <w:t xml:space="preserve"> far more than a statistical correlation. It is embedded in systemic inequalities in housing experienced by </w:t>
      </w:r>
      <w:r w:rsidR="006616DA">
        <w:rPr>
          <w:rFonts w:ascii="Times New Roman" w:eastAsia="Times New Roman" w:hAnsi="Times New Roman" w:cs="Times New Roman"/>
          <w:sz w:val="24"/>
          <w:szCs w:val="24"/>
        </w:rPr>
        <w:t xml:space="preserve">many </w:t>
      </w:r>
      <w:r>
        <w:rPr>
          <w:rFonts w:ascii="Times New Roman" w:eastAsia="Times New Roman" w:hAnsi="Times New Roman" w:cs="Times New Roman"/>
          <w:sz w:val="24"/>
          <w:szCs w:val="24"/>
        </w:rPr>
        <w:t xml:space="preserve">Code-protected groups. The Code must therefore be applied to ensure that the needs of </w:t>
      </w:r>
      <w:r w:rsidR="00522762">
        <w:rPr>
          <w:rFonts w:ascii="Times New Roman" w:eastAsia="Times New Roman" w:hAnsi="Times New Roman" w:cs="Times New Roman"/>
          <w:sz w:val="24"/>
          <w:szCs w:val="24"/>
        </w:rPr>
        <w:t xml:space="preserve"> affected </w:t>
      </w:r>
      <w:r>
        <w:rPr>
          <w:rFonts w:ascii="Times New Roman" w:eastAsia="Times New Roman" w:hAnsi="Times New Roman" w:cs="Times New Roman"/>
          <w:sz w:val="24"/>
          <w:szCs w:val="24"/>
        </w:rPr>
        <w:t>groups are accommodated in any upgrading and development so that instead of being deprived of housing and removed from their communities</w:t>
      </w:r>
      <w:r w:rsidR="005227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they are able to share the benefits of any upgrading in a manner that respects their rights to inclusion, dignity, and equal access to adequate and affordable housing.</w:t>
      </w:r>
    </w:p>
    <w:p w14:paraId="4492BF6D" w14:textId="637410B9" w:rsidR="00A04000" w:rsidRDefault="00BC2D96" w:rsidP="006A2C1B">
      <w:pPr>
        <w:pStyle w:val="Heading1"/>
        <w:numPr>
          <w:ilvl w:val="0"/>
          <w:numId w:val="6"/>
        </w:numPr>
      </w:pPr>
      <w:bookmarkStart w:id="23" w:name="_2s8eyo1" w:colFirst="0" w:colLast="0"/>
      <w:bookmarkStart w:id="24" w:name="_Toc22031125"/>
      <w:bookmarkEnd w:id="23"/>
      <w:r>
        <w:t xml:space="preserve">Interpreting the Code Consistently with Relevant International Human </w:t>
      </w:r>
      <w:r w:rsidR="00A3676B">
        <w:t>R</w:t>
      </w:r>
      <w:r>
        <w:t xml:space="preserve">ights </w:t>
      </w:r>
      <w:r w:rsidRPr="006A2C1B">
        <w:t>Obligations</w:t>
      </w:r>
      <w:bookmarkEnd w:id="24"/>
      <w:r>
        <w:t xml:space="preserve">  </w:t>
      </w:r>
    </w:p>
    <w:p w14:paraId="79C15AC9" w14:textId="0091B769" w:rsidR="00A04000" w:rsidRDefault="00BC2D96" w:rsidP="006A2C1B">
      <w:pPr>
        <w:pStyle w:val="Heading2"/>
        <w:numPr>
          <w:ilvl w:val="0"/>
          <w:numId w:val="8"/>
        </w:numPr>
      </w:pPr>
      <w:bookmarkStart w:id="25" w:name="_17dp8vu" w:colFirst="0" w:colLast="0"/>
      <w:bookmarkStart w:id="26" w:name="_Toc22031126"/>
      <w:bookmarkEnd w:id="25"/>
      <w:r>
        <w:t xml:space="preserve">Presumption of </w:t>
      </w:r>
      <w:r w:rsidR="00A3676B" w:rsidRPr="006A2C1B">
        <w:t>c</w:t>
      </w:r>
      <w:r w:rsidRPr="006A2C1B">
        <w:t>onformity</w:t>
      </w:r>
      <w:bookmarkEnd w:id="26"/>
    </w:p>
    <w:p w14:paraId="09C4D2B9" w14:textId="61F32DCA" w:rsidR="00A04000" w:rsidRDefault="00BC2D96">
      <w:pPr>
        <w:spacing w:after="120" w:line="240" w:lineRule="auto"/>
        <w:rPr>
          <w:rFonts w:ascii="Times New Roman" w:eastAsia="Times New Roman" w:hAnsi="Times New Roman" w:cs="Times New Roman"/>
          <w:sz w:val="24"/>
          <w:szCs w:val="24"/>
        </w:rPr>
      </w:pPr>
      <w:bookmarkStart w:id="27" w:name="_3rdcrjn" w:colFirst="0" w:colLast="0"/>
      <w:bookmarkEnd w:id="27"/>
      <w:r>
        <w:rPr>
          <w:rFonts w:ascii="Times New Roman" w:eastAsia="Times New Roman" w:hAnsi="Times New Roman" w:cs="Times New Roman"/>
          <w:sz w:val="24"/>
          <w:szCs w:val="24"/>
        </w:rPr>
        <w:t>International law ratified by Canada is not directly enforceable by courts or tribunals if it has not been incorporated into domestic law. It is, however, a persuasive and influential source for the interpretation of human rights protections in Canada, providing meaning and context to Canadian law.</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The key principle that has been applied is the “presumption of conformity”</w:t>
      </w:r>
      <w:r w:rsidR="00DE66C5">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a doctrine of statutory interpretation that presumes, absent explicit evidence to the contrary, that legislatures </w:t>
      </w:r>
      <w:r>
        <w:rPr>
          <w:rFonts w:ascii="Times New Roman" w:eastAsia="Times New Roman" w:hAnsi="Times New Roman" w:cs="Times New Roman"/>
          <w:sz w:val="24"/>
          <w:szCs w:val="24"/>
        </w:rPr>
        <w:lastRenderedPageBreak/>
        <w:t>do not legislate in a way that violates ratified international law. Thus, domestic law should be interpreted in conformity with treaties to which Canada is a signatory.</w:t>
      </w:r>
      <w:r>
        <w:rPr>
          <w:rFonts w:ascii="Times New Roman" w:eastAsia="Times New Roman" w:hAnsi="Times New Roman" w:cs="Times New Roman"/>
          <w:sz w:val="24"/>
          <w:szCs w:val="24"/>
          <w:vertAlign w:val="superscript"/>
        </w:rPr>
        <w:footnoteReference w:id="21"/>
      </w:r>
    </w:p>
    <w:p w14:paraId="71E804E2" w14:textId="454C6A80" w:rsidR="00FD2649" w:rsidRDefault="00FD2649" w:rsidP="00FD2649">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Committee on Economic Social and Cultural Rights (“CESCR”) </w:t>
      </w:r>
      <w:r w:rsidR="00AF079F">
        <w:rPr>
          <w:rFonts w:ascii="Times New Roman" w:eastAsia="Times New Roman" w:hAnsi="Times New Roman" w:cs="Times New Roman"/>
          <w:sz w:val="24"/>
          <w:szCs w:val="24"/>
        </w:rPr>
        <w:t xml:space="preserve">has </w:t>
      </w:r>
      <w:r w:rsidR="00904FA7">
        <w:rPr>
          <w:rFonts w:ascii="Times New Roman" w:eastAsia="Times New Roman" w:hAnsi="Times New Roman" w:cs="Times New Roman"/>
          <w:sz w:val="24"/>
          <w:szCs w:val="24"/>
        </w:rPr>
        <w:t>linked</w:t>
      </w:r>
      <w:r w:rsidR="004151C0">
        <w:rPr>
          <w:rFonts w:ascii="Times New Roman" w:eastAsia="Times New Roman" w:hAnsi="Times New Roman" w:cs="Times New Roman"/>
          <w:sz w:val="24"/>
          <w:szCs w:val="24"/>
        </w:rPr>
        <w:t xml:space="preserve"> the </w:t>
      </w:r>
      <w:r w:rsidR="003B0091">
        <w:rPr>
          <w:rFonts w:ascii="Times New Roman" w:eastAsia="Times New Roman" w:hAnsi="Times New Roman" w:cs="Times New Roman"/>
          <w:sz w:val="24"/>
          <w:szCs w:val="24"/>
        </w:rPr>
        <w:t>concept</w:t>
      </w:r>
      <w:r w:rsidR="004037FC">
        <w:rPr>
          <w:rFonts w:ascii="Times New Roman" w:eastAsia="Times New Roman" w:hAnsi="Times New Roman" w:cs="Times New Roman"/>
          <w:sz w:val="24"/>
          <w:szCs w:val="24"/>
        </w:rPr>
        <w:t xml:space="preserve"> of</w:t>
      </w:r>
      <w:r w:rsidR="00D2517B">
        <w:rPr>
          <w:rFonts w:ascii="Times New Roman" w:eastAsia="Times New Roman" w:hAnsi="Times New Roman" w:cs="Times New Roman"/>
          <w:sz w:val="24"/>
          <w:szCs w:val="24"/>
        </w:rPr>
        <w:t xml:space="preserve"> domestic </w:t>
      </w:r>
      <w:r w:rsidR="006026A1">
        <w:rPr>
          <w:rFonts w:ascii="Times New Roman" w:eastAsia="Times New Roman" w:hAnsi="Times New Roman" w:cs="Times New Roman"/>
          <w:sz w:val="24"/>
          <w:szCs w:val="24"/>
        </w:rPr>
        <w:t>consistency with international legal obligations</w:t>
      </w:r>
      <w:r w:rsidR="005E147D">
        <w:rPr>
          <w:rFonts w:ascii="Times New Roman" w:eastAsia="Times New Roman" w:hAnsi="Times New Roman" w:cs="Times New Roman"/>
          <w:sz w:val="24"/>
          <w:szCs w:val="24"/>
        </w:rPr>
        <w:t xml:space="preserve"> </w:t>
      </w:r>
      <w:r w:rsidR="00C45877">
        <w:rPr>
          <w:rFonts w:ascii="Times New Roman" w:eastAsia="Times New Roman" w:hAnsi="Times New Roman" w:cs="Times New Roman"/>
          <w:sz w:val="24"/>
          <w:szCs w:val="24"/>
        </w:rPr>
        <w:t xml:space="preserve">with that of </w:t>
      </w:r>
      <w:r>
        <w:rPr>
          <w:rFonts w:ascii="Times New Roman" w:eastAsia="Times New Roman" w:hAnsi="Times New Roman" w:cs="Times New Roman"/>
          <w:sz w:val="24"/>
          <w:szCs w:val="24"/>
        </w:rPr>
        <w:t xml:space="preserve">respect </w:t>
      </w:r>
      <w:r w:rsidR="005E147D">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the rule of law</w:t>
      </w:r>
      <w:r w:rsidR="00DA2F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D104843" w14:textId="77777777" w:rsidR="00FD2649" w:rsidRDefault="00FD2649" w:rsidP="00FD2649">
      <w:pPr>
        <w:spacing w:after="12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Within the limits of the appropriate exercise of their functions of judicial review, courts should take account of Covenant rights where this is necessary to ensure that the State's conduct is consistent with its obligations under the Covenant. Neglect by the courts of this responsibility is incompatible with the principle of the rule of law, which must always be taken to include respect for international human rights obligations. </w:t>
      </w:r>
    </w:p>
    <w:p w14:paraId="24B11D6A" w14:textId="53F57976" w:rsidR="00FD2649" w:rsidRDefault="00FD2649" w:rsidP="00FD2649">
      <w:pPr>
        <w:spacing w:after="12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15. It is generally accepted that domestic law should be interpreted as far as possible in a way which conforms to a State's international legal obligations. Thus, when a domestic decision maker is faced with a choice between an interpretation of domestic law that would place the state in breach of the Covenant and one that would enable the State to comply with the Covenant, international law requires the choice of the latter. Guarantees of equality and non-discrimination should be interpreted, to the greatest extent possible, in ways which facilitate the full protection of economic, social and cultural rights.</w:t>
      </w:r>
      <w:r>
        <w:rPr>
          <w:rFonts w:ascii="Times New Roman" w:eastAsia="Times New Roman" w:hAnsi="Times New Roman" w:cs="Times New Roman"/>
          <w:sz w:val="24"/>
          <w:szCs w:val="24"/>
          <w:vertAlign w:val="superscript"/>
        </w:rPr>
        <w:footnoteReference w:id="22"/>
      </w:r>
    </w:p>
    <w:p w14:paraId="23DE0D50" w14:textId="5FE5F887" w:rsidR="00A04000" w:rsidRDefault="008B7ADC" w:rsidP="006A2C1B">
      <w:pPr>
        <w:pStyle w:val="Heading2"/>
        <w:numPr>
          <w:ilvl w:val="0"/>
          <w:numId w:val="8"/>
        </w:numPr>
      </w:pPr>
      <w:bookmarkStart w:id="28" w:name="_26in1rg" w:colFirst="0" w:colLast="0"/>
      <w:bookmarkStart w:id="29" w:name="_Toc22031127"/>
      <w:bookmarkEnd w:id="28"/>
      <w:r>
        <w:t>T</w:t>
      </w:r>
      <w:r w:rsidR="00BC2D96">
        <w:t xml:space="preserve">he right to equality in housing under the Code and the right to </w:t>
      </w:r>
      <w:r w:rsidR="00014079">
        <w:t xml:space="preserve">adequate </w:t>
      </w:r>
      <w:r w:rsidR="00BC2D96" w:rsidRPr="006A2C1B">
        <w:t>housing</w:t>
      </w:r>
      <w:r w:rsidR="00BC2D96">
        <w:t xml:space="preserve"> under international human rights law</w:t>
      </w:r>
      <w:bookmarkEnd w:id="29"/>
    </w:p>
    <w:p w14:paraId="0562122F" w14:textId="77777777" w:rsidR="00C2668C" w:rsidRDefault="001E4E50" w:rsidP="001E4E50">
      <w:pPr>
        <w:spacing w:after="120" w:line="240" w:lineRule="auto"/>
        <w:rPr>
          <w:rFonts w:ascii="Times New Roman" w:eastAsia="Times New Roman" w:hAnsi="Times New Roman" w:cs="Times New Roman"/>
          <w:sz w:val="24"/>
          <w:szCs w:val="24"/>
        </w:rPr>
      </w:pPr>
      <w:r w:rsidRPr="00522762">
        <w:rPr>
          <w:rFonts w:ascii="Times New Roman" w:eastAsia="Times New Roman" w:hAnsi="Times New Roman" w:cs="Times New Roman"/>
          <w:sz w:val="24"/>
          <w:szCs w:val="24"/>
        </w:rPr>
        <w:t xml:space="preserve">The interpretive influence of international human rights law on the provisions of the Code is particularly important. As the </w:t>
      </w:r>
      <w:r w:rsidR="00BA36B7">
        <w:rPr>
          <w:rFonts w:ascii="Times New Roman" w:eastAsia="Times New Roman" w:hAnsi="Times New Roman" w:cs="Times New Roman"/>
          <w:sz w:val="24"/>
          <w:szCs w:val="24"/>
        </w:rPr>
        <w:t>OHRC</w:t>
      </w:r>
      <w:r w:rsidRPr="00522762">
        <w:rPr>
          <w:rFonts w:ascii="Times New Roman" w:eastAsia="Times New Roman" w:hAnsi="Times New Roman" w:cs="Times New Roman"/>
          <w:sz w:val="24"/>
          <w:szCs w:val="24"/>
        </w:rPr>
        <w:t xml:space="preserve"> has noted</w:t>
      </w:r>
      <w:r w:rsidR="00C2668C">
        <w:rPr>
          <w:rFonts w:ascii="Times New Roman" w:eastAsia="Times New Roman" w:hAnsi="Times New Roman" w:cs="Times New Roman"/>
          <w:sz w:val="24"/>
          <w:szCs w:val="24"/>
        </w:rPr>
        <w:t>:</w:t>
      </w:r>
    </w:p>
    <w:p w14:paraId="0C98BE2E" w14:textId="77777777" w:rsidR="008E4A07" w:rsidRDefault="00C2668C" w:rsidP="00D646EB">
      <w:pPr>
        <w:spacing w:after="12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E4E50" w:rsidRPr="00522762">
        <w:rPr>
          <w:rFonts w:ascii="Times New Roman" w:eastAsia="Times New Roman" w:hAnsi="Times New Roman" w:cs="Times New Roman"/>
          <w:sz w:val="24"/>
          <w:szCs w:val="24"/>
        </w:rPr>
        <w:t>the Supreme Court has affirmed that administrative decision-makers should listen to international bodies and take Canada’s international commitments seriously. Since human rights legislation in Canada has a quasi-constitutional status, international law has a special relationship to human rights codes.</w:t>
      </w:r>
      <w:r w:rsidR="00FE09DD">
        <w:rPr>
          <w:rFonts w:ascii="Times New Roman" w:eastAsia="Times New Roman" w:hAnsi="Times New Roman" w:cs="Times New Roman"/>
          <w:sz w:val="24"/>
          <w:szCs w:val="24"/>
        </w:rPr>
        <w:t xml:space="preserve"> </w:t>
      </w:r>
      <w:r w:rsidR="00B920C8">
        <w:rPr>
          <w:rFonts w:ascii="Times New Roman" w:eastAsia="Times New Roman" w:hAnsi="Times New Roman" w:cs="Times New Roman"/>
          <w:sz w:val="24"/>
          <w:szCs w:val="24"/>
        </w:rPr>
        <w:t xml:space="preserve">The Commission should, therefore, look to international law to expand current understandings of the </w:t>
      </w:r>
      <w:r w:rsidR="00B920C8">
        <w:rPr>
          <w:rFonts w:ascii="Times New Roman" w:eastAsia="Times New Roman" w:hAnsi="Times New Roman" w:cs="Times New Roman"/>
          <w:i/>
          <w:sz w:val="24"/>
          <w:szCs w:val="24"/>
        </w:rPr>
        <w:t xml:space="preserve">Code </w:t>
      </w:r>
      <w:r w:rsidR="00B920C8">
        <w:rPr>
          <w:rFonts w:ascii="Times New Roman" w:eastAsia="Times New Roman" w:hAnsi="Times New Roman" w:cs="Times New Roman"/>
          <w:sz w:val="24"/>
          <w:szCs w:val="24"/>
        </w:rPr>
        <w:t xml:space="preserve">to include economic, social and cultural rights within its mandate. As the </w:t>
      </w:r>
      <w:r w:rsidR="00B920C8">
        <w:rPr>
          <w:rFonts w:ascii="Times New Roman" w:eastAsia="Times New Roman" w:hAnsi="Times New Roman" w:cs="Times New Roman"/>
          <w:i/>
          <w:sz w:val="24"/>
          <w:szCs w:val="24"/>
        </w:rPr>
        <w:t>Universal Declaration</w:t>
      </w:r>
      <w:r w:rsidR="00B920C8">
        <w:rPr>
          <w:rFonts w:ascii="Times New Roman" w:eastAsia="Times New Roman" w:hAnsi="Times New Roman" w:cs="Times New Roman"/>
          <w:sz w:val="24"/>
          <w:szCs w:val="24"/>
        </w:rPr>
        <w:t xml:space="preserve"> reminds us, economic, social and cultural rights go to the core of dignity and equality.</w:t>
      </w:r>
      <w:r w:rsidR="001E4E50">
        <w:rPr>
          <w:vertAlign w:val="superscript"/>
        </w:rPr>
        <w:footnoteReference w:id="23"/>
      </w:r>
      <w:r w:rsidR="001E4E50" w:rsidRPr="00522762">
        <w:rPr>
          <w:rFonts w:ascii="Times New Roman" w:eastAsia="Times New Roman" w:hAnsi="Times New Roman" w:cs="Times New Roman"/>
          <w:sz w:val="24"/>
          <w:szCs w:val="24"/>
        </w:rPr>
        <w:t xml:space="preserve">  </w:t>
      </w:r>
    </w:p>
    <w:p w14:paraId="110B4B46" w14:textId="0E9887A7" w:rsidR="001E4E50" w:rsidRDefault="001E4E50" w:rsidP="008E4A07">
      <w:pPr>
        <w:spacing w:after="120" w:line="240" w:lineRule="auto"/>
        <w:rPr>
          <w:rFonts w:ascii="Times New Roman" w:eastAsia="Times New Roman" w:hAnsi="Times New Roman" w:cs="Times New Roman"/>
          <w:sz w:val="24"/>
          <w:szCs w:val="24"/>
        </w:rPr>
      </w:pPr>
      <w:r w:rsidRPr="00522762">
        <w:rPr>
          <w:rFonts w:ascii="Times New Roman" w:eastAsia="Times New Roman" w:hAnsi="Times New Roman" w:cs="Times New Roman"/>
          <w:sz w:val="24"/>
          <w:szCs w:val="24"/>
        </w:rPr>
        <w:lastRenderedPageBreak/>
        <w:t>Numerous decisions of the Human Rights Tribunal of Ontario have sought to interpret the Code consistently with human rights obligations under treaties ratified by Canada.</w:t>
      </w:r>
      <w:r>
        <w:rPr>
          <w:vertAlign w:val="superscript"/>
        </w:rPr>
        <w:footnoteReference w:id="24"/>
      </w:r>
      <w:r w:rsidRPr="00522762">
        <w:rPr>
          <w:rFonts w:ascii="Times New Roman" w:eastAsia="Times New Roman" w:hAnsi="Times New Roman" w:cs="Times New Roman"/>
          <w:sz w:val="24"/>
          <w:szCs w:val="24"/>
        </w:rPr>
        <w:t xml:space="preserve"> </w:t>
      </w:r>
    </w:p>
    <w:p w14:paraId="18B187AA" w14:textId="1A016668" w:rsidR="00A04000" w:rsidRDefault="00EC1A66">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97EBA">
        <w:rPr>
          <w:rFonts w:ascii="Times New Roman" w:eastAsia="Times New Roman" w:hAnsi="Times New Roman" w:cs="Times New Roman"/>
          <w:sz w:val="24"/>
          <w:szCs w:val="24"/>
        </w:rPr>
        <w:t>uch</w:t>
      </w:r>
      <w:r w:rsidR="00BC2D96">
        <w:rPr>
          <w:rFonts w:ascii="Times New Roman" w:eastAsia="Times New Roman" w:hAnsi="Times New Roman" w:cs="Times New Roman"/>
          <w:sz w:val="24"/>
          <w:szCs w:val="24"/>
        </w:rPr>
        <w:t xml:space="preserve"> of the relevant jurisprudence </w:t>
      </w:r>
      <w:r>
        <w:rPr>
          <w:rFonts w:ascii="Times New Roman" w:eastAsia="Times New Roman" w:hAnsi="Times New Roman" w:cs="Times New Roman"/>
          <w:sz w:val="24"/>
          <w:szCs w:val="24"/>
        </w:rPr>
        <w:t xml:space="preserve">in international human rights law </w:t>
      </w:r>
      <w:r w:rsidR="00697EBA">
        <w:rPr>
          <w:rFonts w:ascii="Times New Roman" w:eastAsia="Times New Roman" w:hAnsi="Times New Roman" w:cs="Times New Roman"/>
          <w:sz w:val="24"/>
          <w:szCs w:val="24"/>
        </w:rPr>
        <w:t>on</w:t>
      </w:r>
      <w:r w:rsidR="00BC2D96">
        <w:rPr>
          <w:rFonts w:ascii="Times New Roman" w:eastAsia="Times New Roman" w:hAnsi="Times New Roman" w:cs="Times New Roman"/>
          <w:sz w:val="24"/>
          <w:szCs w:val="24"/>
        </w:rPr>
        <w:t xml:space="preserve"> the protection of vulnerable groups in the upgrading and redevelopment of substandard housing has </w:t>
      </w:r>
      <w:r w:rsidR="00273478">
        <w:rPr>
          <w:rFonts w:ascii="Times New Roman" w:eastAsia="Times New Roman" w:hAnsi="Times New Roman" w:cs="Times New Roman"/>
          <w:sz w:val="24"/>
          <w:szCs w:val="24"/>
        </w:rPr>
        <w:t>focused on</w:t>
      </w:r>
      <w:r w:rsidR="00BC2D96">
        <w:rPr>
          <w:rFonts w:ascii="Times New Roman" w:eastAsia="Times New Roman" w:hAnsi="Times New Roman" w:cs="Times New Roman"/>
          <w:sz w:val="24"/>
          <w:szCs w:val="24"/>
        </w:rPr>
        <w:t xml:space="preserve"> clarify</w:t>
      </w:r>
      <w:r w:rsidR="00273478">
        <w:rPr>
          <w:rFonts w:ascii="Times New Roman" w:eastAsia="Times New Roman" w:hAnsi="Times New Roman" w:cs="Times New Roman"/>
          <w:sz w:val="24"/>
          <w:szCs w:val="24"/>
        </w:rPr>
        <w:t>ing</w:t>
      </w:r>
      <w:r w:rsidR="00BC2D96">
        <w:rPr>
          <w:rFonts w:ascii="Times New Roman" w:eastAsia="Times New Roman" w:hAnsi="Times New Roman" w:cs="Times New Roman"/>
          <w:sz w:val="24"/>
          <w:szCs w:val="24"/>
        </w:rPr>
        <w:t xml:space="preserve"> obligations under the </w:t>
      </w:r>
      <w:r w:rsidR="00BC2D96">
        <w:rPr>
          <w:rFonts w:ascii="Times New Roman" w:eastAsia="Times New Roman" w:hAnsi="Times New Roman" w:cs="Times New Roman"/>
          <w:i/>
          <w:sz w:val="24"/>
          <w:szCs w:val="24"/>
        </w:rPr>
        <w:t xml:space="preserve">International Covenant on Economic, Social and Cultural Rights </w:t>
      </w:r>
      <w:r w:rsidR="00BC2D96">
        <w:rPr>
          <w:rFonts w:ascii="Times New Roman" w:eastAsia="Times New Roman" w:hAnsi="Times New Roman" w:cs="Times New Roman"/>
          <w:sz w:val="24"/>
          <w:szCs w:val="24"/>
        </w:rPr>
        <w:t>(</w:t>
      </w:r>
      <w:r w:rsidR="00D112F2">
        <w:rPr>
          <w:rFonts w:ascii="Times New Roman" w:eastAsia="Times New Roman" w:hAnsi="Times New Roman" w:cs="Times New Roman"/>
          <w:sz w:val="24"/>
          <w:szCs w:val="24"/>
        </w:rPr>
        <w:t>“</w:t>
      </w:r>
      <w:r w:rsidR="00BC2D96">
        <w:rPr>
          <w:rFonts w:ascii="Times New Roman" w:eastAsia="Times New Roman" w:hAnsi="Times New Roman" w:cs="Times New Roman"/>
          <w:sz w:val="24"/>
          <w:szCs w:val="24"/>
        </w:rPr>
        <w:t>ICESCR</w:t>
      </w:r>
      <w:r w:rsidR="00D112F2">
        <w:rPr>
          <w:rFonts w:ascii="Times New Roman" w:eastAsia="Times New Roman" w:hAnsi="Times New Roman" w:cs="Times New Roman"/>
          <w:sz w:val="24"/>
          <w:szCs w:val="24"/>
        </w:rPr>
        <w:t>”</w:t>
      </w:r>
      <w:r w:rsidR="00BC2D96">
        <w:rPr>
          <w:rFonts w:ascii="Times New Roman" w:eastAsia="Times New Roman" w:hAnsi="Times New Roman" w:cs="Times New Roman"/>
          <w:sz w:val="24"/>
          <w:szCs w:val="24"/>
        </w:rPr>
        <w:t>)</w:t>
      </w:r>
      <w:r w:rsidR="00BC2D96">
        <w:rPr>
          <w:rFonts w:ascii="Times New Roman" w:eastAsia="Times New Roman" w:hAnsi="Times New Roman" w:cs="Times New Roman"/>
          <w:sz w:val="24"/>
          <w:szCs w:val="24"/>
          <w:vertAlign w:val="superscript"/>
        </w:rPr>
        <w:footnoteReference w:id="25"/>
      </w:r>
      <w:r w:rsidR="00E84DED">
        <w:rPr>
          <w:rFonts w:ascii="Times New Roman" w:eastAsia="Times New Roman" w:hAnsi="Times New Roman" w:cs="Times New Roman"/>
          <w:sz w:val="24"/>
          <w:szCs w:val="24"/>
        </w:rPr>
        <w:t xml:space="preserve"> </w:t>
      </w:r>
      <w:r w:rsidR="00522762">
        <w:rPr>
          <w:rFonts w:ascii="Times New Roman" w:eastAsia="Times New Roman" w:hAnsi="Times New Roman" w:cs="Times New Roman"/>
          <w:sz w:val="24"/>
          <w:szCs w:val="24"/>
        </w:rPr>
        <w:t xml:space="preserve">to </w:t>
      </w:r>
      <w:r w:rsidR="00E84DED">
        <w:rPr>
          <w:rFonts w:ascii="Times New Roman" w:eastAsia="Times New Roman" w:hAnsi="Times New Roman" w:cs="Times New Roman"/>
          <w:sz w:val="24"/>
          <w:szCs w:val="24"/>
        </w:rPr>
        <w:t xml:space="preserve"> protect</w:t>
      </w:r>
      <w:r w:rsidR="008C06BE">
        <w:rPr>
          <w:rFonts w:ascii="Times New Roman" w:eastAsia="Times New Roman" w:hAnsi="Times New Roman" w:cs="Times New Roman"/>
          <w:sz w:val="24"/>
          <w:szCs w:val="24"/>
        </w:rPr>
        <w:t xml:space="preserve"> </w:t>
      </w:r>
      <w:r w:rsidR="00BC2D96">
        <w:rPr>
          <w:rFonts w:ascii="Times New Roman" w:eastAsia="Times New Roman" w:hAnsi="Times New Roman" w:cs="Times New Roman"/>
          <w:sz w:val="24"/>
          <w:szCs w:val="24"/>
        </w:rPr>
        <w:t>the right to adequate housing without discrimination</w:t>
      </w:r>
      <w:bookmarkStart w:id="30" w:name="_Hlk21964982"/>
      <w:r w:rsidR="00BC2D96">
        <w:rPr>
          <w:rFonts w:ascii="Times New Roman" w:eastAsia="Times New Roman" w:hAnsi="Times New Roman" w:cs="Times New Roman"/>
          <w:sz w:val="24"/>
          <w:szCs w:val="24"/>
        </w:rPr>
        <w:t xml:space="preserve">. </w:t>
      </w:r>
      <w:r w:rsidR="00EB27C5">
        <w:rPr>
          <w:rFonts w:ascii="Times New Roman" w:eastAsia="Times New Roman" w:hAnsi="Times New Roman" w:cs="Times New Roman"/>
          <w:sz w:val="24"/>
          <w:szCs w:val="24"/>
        </w:rPr>
        <w:t>Any eviction of</w:t>
      </w:r>
      <w:r w:rsidR="00522762">
        <w:rPr>
          <w:rFonts w:ascii="Times New Roman" w:eastAsia="Times New Roman" w:hAnsi="Times New Roman" w:cs="Times New Roman"/>
          <w:sz w:val="24"/>
          <w:szCs w:val="24"/>
        </w:rPr>
        <w:t xml:space="preserve"> </w:t>
      </w:r>
      <w:r w:rsidR="00BC2D96">
        <w:rPr>
          <w:rFonts w:ascii="Times New Roman" w:eastAsia="Times New Roman" w:hAnsi="Times New Roman" w:cs="Times New Roman"/>
          <w:sz w:val="24"/>
          <w:szCs w:val="24"/>
        </w:rPr>
        <w:t>vulnerable groups from their existing housing</w:t>
      </w:r>
      <w:r w:rsidR="00D54D37">
        <w:rPr>
          <w:rFonts w:ascii="Times New Roman" w:eastAsia="Times New Roman" w:hAnsi="Times New Roman" w:cs="Times New Roman"/>
          <w:sz w:val="24"/>
          <w:szCs w:val="24"/>
        </w:rPr>
        <w:t xml:space="preserve"> in </w:t>
      </w:r>
      <w:r w:rsidR="000B3432">
        <w:rPr>
          <w:rFonts w:ascii="Times New Roman" w:eastAsia="Times New Roman" w:hAnsi="Times New Roman" w:cs="Times New Roman"/>
          <w:sz w:val="24"/>
          <w:szCs w:val="24"/>
        </w:rPr>
        <w:t>such</w:t>
      </w:r>
      <w:r w:rsidR="00D54D37">
        <w:rPr>
          <w:rFonts w:ascii="Times New Roman" w:eastAsia="Times New Roman" w:hAnsi="Times New Roman" w:cs="Times New Roman"/>
          <w:sz w:val="24"/>
          <w:szCs w:val="24"/>
        </w:rPr>
        <w:t xml:space="preserve"> circumstances</w:t>
      </w:r>
      <w:r w:rsidR="00522762">
        <w:rPr>
          <w:rFonts w:ascii="Times New Roman" w:eastAsia="Times New Roman" w:hAnsi="Times New Roman" w:cs="Times New Roman"/>
          <w:sz w:val="24"/>
          <w:szCs w:val="24"/>
        </w:rPr>
        <w:t xml:space="preserve">, </w:t>
      </w:r>
      <w:r w:rsidR="00D54D37">
        <w:rPr>
          <w:rFonts w:ascii="Times New Roman" w:eastAsia="Times New Roman" w:hAnsi="Times New Roman" w:cs="Times New Roman"/>
          <w:sz w:val="24"/>
          <w:szCs w:val="24"/>
        </w:rPr>
        <w:t>by the State or by</w:t>
      </w:r>
      <w:r w:rsidR="00522762">
        <w:rPr>
          <w:rFonts w:ascii="Times New Roman" w:eastAsia="Times New Roman" w:hAnsi="Times New Roman" w:cs="Times New Roman"/>
          <w:sz w:val="24"/>
          <w:szCs w:val="24"/>
        </w:rPr>
        <w:t xml:space="preserve"> private developers,</w:t>
      </w:r>
      <w:r w:rsidR="00BC2D96">
        <w:rPr>
          <w:rFonts w:ascii="Times New Roman" w:eastAsia="Times New Roman" w:hAnsi="Times New Roman" w:cs="Times New Roman"/>
          <w:sz w:val="24"/>
          <w:szCs w:val="24"/>
        </w:rPr>
        <w:t xml:space="preserve"> without engaging with them about development plans, providing alternative accommodation</w:t>
      </w:r>
      <w:r w:rsidR="009501D6">
        <w:rPr>
          <w:rFonts w:ascii="Times New Roman" w:eastAsia="Times New Roman" w:hAnsi="Times New Roman" w:cs="Times New Roman"/>
          <w:sz w:val="24"/>
          <w:szCs w:val="24"/>
        </w:rPr>
        <w:t>s</w:t>
      </w:r>
      <w:r w:rsidR="00BC2D96">
        <w:rPr>
          <w:rFonts w:ascii="Times New Roman" w:eastAsia="Times New Roman" w:hAnsi="Times New Roman" w:cs="Times New Roman"/>
          <w:sz w:val="24"/>
          <w:szCs w:val="24"/>
        </w:rPr>
        <w:t>, and</w:t>
      </w:r>
      <w:r w:rsidR="00AF0961">
        <w:rPr>
          <w:rFonts w:ascii="Times New Roman" w:eastAsia="Times New Roman" w:hAnsi="Times New Roman" w:cs="Times New Roman"/>
          <w:sz w:val="24"/>
          <w:szCs w:val="24"/>
        </w:rPr>
        <w:t xml:space="preserve"> </w:t>
      </w:r>
      <w:r w:rsidR="00BC2D96">
        <w:rPr>
          <w:rFonts w:ascii="Times New Roman" w:eastAsia="Times New Roman" w:hAnsi="Times New Roman" w:cs="Times New Roman"/>
          <w:sz w:val="24"/>
          <w:szCs w:val="24"/>
        </w:rPr>
        <w:t xml:space="preserve">ensuring a right to return to their community, is a violation of articles 2 and 11 of the ICESCR and constitutes a gross violation of international law. </w:t>
      </w:r>
    </w:p>
    <w:bookmarkEnd w:id="30"/>
    <w:p w14:paraId="7B32B407" w14:textId="05CDD331" w:rsidR="00EA1644" w:rsidRDefault="00BC2D96">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question </w:t>
      </w:r>
      <w:r w:rsidR="009F2947">
        <w:rPr>
          <w:rFonts w:ascii="Times New Roman" w:eastAsia="Times New Roman" w:hAnsi="Times New Roman" w:cs="Times New Roman"/>
          <w:sz w:val="24"/>
          <w:szCs w:val="24"/>
        </w:rPr>
        <w:t xml:space="preserve">here </w:t>
      </w:r>
      <w:r>
        <w:rPr>
          <w:rFonts w:ascii="Times New Roman" w:eastAsia="Times New Roman" w:hAnsi="Times New Roman" w:cs="Times New Roman"/>
          <w:sz w:val="24"/>
          <w:szCs w:val="24"/>
        </w:rPr>
        <w:t xml:space="preserve">is whether such practices also constitute a violation of the Code. </w:t>
      </w:r>
      <w:r w:rsidR="006620AD">
        <w:rPr>
          <w:rFonts w:ascii="Times New Roman" w:eastAsia="Times New Roman" w:hAnsi="Times New Roman" w:cs="Times New Roman"/>
          <w:sz w:val="24"/>
          <w:szCs w:val="24"/>
        </w:rPr>
        <w:t>It is important to note that t</w:t>
      </w:r>
      <w:r>
        <w:rPr>
          <w:rFonts w:ascii="Times New Roman" w:eastAsia="Times New Roman" w:hAnsi="Times New Roman" w:cs="Times New Roman"/>
          <w:sz w:val="24"/>
          <w:szCs w:val="24"/>
        </w:rPr>
        <w:t xml:space="preserve">he principle of conformity does not require that the Code protect the right to </w:t>
      </w:r>
      <w:r w:rsidR="00285DE6">
        <w:rPr>
          <w:rFonts w:ascii="Times New Roman" w:eastAsia="Times New Roman" w:hAnsi="Times New Roman" w:cs="Times New Roman"/>
          <w:sz w:val="24"/>
          <w:szCs w:val="24"/>
        </w:rPr>
        <w:t xml:space="preserve">adequate </w:t>
      </w:r>
      <w:r>
        <w:rPr>
          <w:rFonts w:ascii="Times New Roman" w:eastAsia="Times New Roman" w:hAnsi="Times New Roman" w:cs="Times New Roman"/>
          <w:sz w:val="24"/>
          <w:szCs w:val="24"/>
        </w:rPr>
        <w:t>housing</w:t>
      </w:r>
      <w:r w:rsidR="008A2ED0">
        <w:rPr>
          <w:rFonts w:ascii="Times New Roman" w:eastAsia="Times New Roman" w:hAnsi="Times New Roman" w:cs="Times New Roman"/>
          <w:sz w:val="24"/>
          <w:szCs w:val="24"/>
        </w:rPr>
        <w:t xml:space="preserve"> </w:t>
      </w:r>
      <w:r w:rsidR="008A2ED0" w:rsidRPr="00051103">
        <w:rPr>
          <w:rFonts w:ascii="Times New Roman" w:eastAsia="Times New Roman" w:hAnsi="Times New Roman" w:cs="Times New Roman"/>
          <w:i/>
          <w:iCs/>
          <w:sz w:val="24"/>
          <w:szCs w:val="24"/>
        </w:rPr>
        <w:t>in toto</w:t>
      </w:r>
      <w:r>
        <w:rPr>
          <w:rFonts w:ascii="Times New Roman" w:eastAsia="Times New Roman" w:hAnsi="Times New Roman" w:cs="Times New Roman"/>
          <w:sz w:val="24"/>
          <w:szCs w:val="24"/>
        </w:rPr>
        <w:t xml:space="preserve">. Rather, it requires </w:t>
      </w:r>
      <w:r w:rsidR="00285117">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the Code </w:t>
      </w:r>
      <w:r w:rsidR="008A2ED0">
        <w:rPr>
          <w:rFonts w:ascii="Times New Roman" w:eastAsia="Times New Roman" w:hAnsi="Times New Roman" w:cs="Times New Roman"/>
          <w:sz w:val="24"/>
          <w:szCs w:val="24"/>
        </w:rPr>
        <w:t xml:space="preserve">be interpreted in </w:t>
      </w:r>
      <w:r w:rsidR="00285117">
        <w:rPr>
          <w:rFonts w:ascii="Times New Roman" w:eastAsia="Times New Roman" w:hAnsi="Times New Roman" w:cs="Times New Roman"/>
          <w:sz w:val="24"/>
          <w:szCs w:val="24"/>
        </w:rPr>
        <w:t xml:space="preserve">a </w:t>
      </w:r>
      <w:r w:rsidR="008A2ED0">
        <w:rPr>
          <w:rFonts w:ascii="Times New Roman" w:eastAsia="Times New Roman" w:hAnsi="Times New Roman" w:cs="Times New Roman"/>
          <w:sz w:val="24"/>
          <w:szCs w:val="24"/>
        </w:rPr>
        <w:t xml:space="preserve">way </w:t>
      </w:r>
      <w:r>
        <w:rPr>
          <w:rFonts w:ascii="Times New Roman" w:eastAsia="Times New Roman" w:hAnsi="Times New Roman" w:cs="Times New Roman"/>
          <w:sz w:val="24"/>
          <w:szCs w:val="24"/>
        </w:rPr>
        <w:t>that protect</w:t>
      </w:r>
      <w:r w:rsidR="00E7538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vulnerable groups in the context of development</w:t>
      </w:r>
      <w:r w:rsidR="006F096E">
        <w:rPr>
          <w:rFonts w:ascii="Times New Roman" w:eastAsia="Times New Roman" w:hAnsi="Times New Roman" w:cs="Times New Roman"/>
          <w:sz w:val="24"/>
          <w:szCs w:val="24"/>
        </w:rPr>
        <w:t>-</w:t>
      </w:r>
      <w:r>
        <w:rPr>
          <w:rFonts w:ascii="Times New Roman" w:eastAsia="Times New Roman" w:hAnsi="Times New Roman" w:cs="Times New Roman"/>
          <w:sz w:val="24"/>
          <w:szCs w:val="24"/>
        </w:rPr>
        <w:t>based eviction</w:t>
      </w:r>
      <w:r w:rsidR="006F096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displacement</w:t>
      </w:r>
      <w:r w:rsidR="006F096E">
        <w:rPr>
          <w:rFonts w:ascii="Times New Roman" w:eastAsia="Times New Roman" w:hAnsi="Times New Roman" w:cs="Times New Roman"/>
          <w:sz w:val="24"/>
          <w:szCs w:val="24"/>
        </w:rPr>
        <w:t>s</w:t>
      </w:r>
      <w:r w:rsidR="00285117">
        <w:rPr>
          <w:rFonts w:ascii="Times New Roman" w:eastAsia="Times New Roman" w:hAnsi="Times New Roman" w:cs="Times New Roman"/>
          <w:sz w:val="24"/>
          <w:szCs w:val="24"/>
        </w:rPr>
        <w:t>,</w:t>
      </w:r>
      <w:r w:rsidR="009E227D">
        <w:rPr>
          <w:rFonts w:ascii="Times New Roman" w:eastAsia="Times New Roman" w:hAnsi="Times New Roman" w:cs="Times New Roman"/>
          <w:sz w:val="24"/>
          <w:szCs w:val="24"/>
        </w:rPr>
        <w:t xml:space="preserve"> in keeping with international law</w:t>
      </w:r>
      <w:r>
        <w:rPr>
          <w:rFonts w:ascii="Times New Roman" w:eastAsia="Times New Roman" w:hAnsi="Times New Roman" w:cs="Times New Roman"/>
          <w:sz w:val="24"/>
          <w:szCs w:val="24"/>
        </w:rPr>
        <w:t xml:space="preserve">. </w:t>
      </w:r>
      <w:r w:rsidR="0024404B">
        <w:rPr>
          <w:rFonts w:ascii="Times New Roman" w:eastAsia="Times New Roman" w:hAnsi="Times New Roman" w:cs="Times New Roman"/>
          <w:sz w:val="24"/>
          <w:szCs w:val="24"/>
        </w:rPr>
        <w:t>In other words,</w:t>
      </w:r>
      <w:r>
        <w:rPr>
          <w:rFonts w:ascii="Times New Roman" w:eastAsia="Times New Roman" w:hAnsi="Times New Roman" w:cs="Times New Roman"/>
          <w:sz w:val="24"/>
          <w:szCs w:val="24"/>
        </w:rPr>
        <w:t xml:space="preserve"> </w:t>
      </w:r>
      <w:r w:rsidR="001318F9">
        <w:rPr>
          <w:rFonts w:ascii="Times New Roman" w:eastAsia="Times New Roman" w:hAnsi="Times New Roman" w:cs="Times New Roman"/>
          <w:sz w:val="24"/>
          <w:szCs w:val="24"/>
        </w:rPr>
        <w:t xml:space="preserve">it is not that </w:t>
      </w:r>
      <w:r>
        <w:rPr>
          <w:rFonts w:ascii="Times New Roman" w:eastAsia="Times New Roman" w:hAnsi="Times New Roman" w:cs="Times New Roman"/>
          <w:sz w:val="24"/>
          <w:szCs w:val="24"/>
        </w:rPr>
        <w:t xml:space="preserve">the right to </w:t>
      </w:r>
      <w:r w:rsidR="0024404B">
        <w:rPr>
          <w:rFonts w:ascii="Times New Roman" w:eastAsia="Times New Roman" w:hAnsi="Times New Roman" w:cs="Times New Roman"/>
          <w:sz w:val="24"/>
          <w:szCs w:val="24"/>
        </w:rPr>
        <w:t xml:space="preserve">adequate </w:t>
      </w:r>
      <w:r>
        <w:rPr>
          <w:rFonts w:ascii="Times New Roman" w:eastAsia="Times New Roman" w:hAnsi="Times New Roman" w:cs="Times New Roman"/>
          <w:sz w:val="24"/>
          <w:szCs w:val="24"/>
        </w:rPr>
        <w:t xml:space="preserve">housing </w:t>
      </w:r>
      <w:r w:rsidR="00AF0961">
        <w:rPr>
          <w:rFonts w:ascii="Times New Roman" w:eastAsia="Times New Roman" w:hAnsi="Times New Roman" w:cs="Times New Roman"/>
          <w:sz w:val="24"/>
          <w:szCs w:val="24"/>
        </w:rPr>
        <w:t>must</w:t>
      </w:r>
      <w:r w:rsidR="00874F6A">
        <w:rPr>
          <w:rFonts w:ascii="Times New Roman" w:eastAsia="Times New Roman" w:hAnsi="Times New Roman" w:cs="Times New Roman"/>
          <w:sz w:val="24"/>
          <w:szCs w:val="24"/>
        </w:rPr>
        <w:t xml:space="preserve"> be read </w:t>
      </w:r>
      <w:r>
        <w:rPr>
          <w:rFonts w:ascii="Times New Roman" w:eastAsia="Times New Roman" w:hAnsi="Times New Roman" w:cs="Times New Roman"/>
          <w:sz w:val="24"/>
          <w:szCs w:val="24"/>
        </w:rPr>
        <w:t xml:space="preserve">into the Code </w:t>
      </w:r>
      <w:r w:rsidR="00AF0961">
        <w:rPr>
          <w:rFonts w:ascii="Times New Roman" w:eastAsia="Times New Roman" w:hAnsi="Times New Roman" w:cs="Times New Roman"/>
          <w:sz w:val="24"/>
          <w:szCs w:val="24"/>
        </w:rPr>
        <w:t xml:space="preserve"> as a distinct right</w:t>
      </w:r>
      <w:r w:rsidR="008152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but </w:t>
      </w:r>
      <w:r w:rsidR="00D112F2">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the Code’s guarantees of equality in housing </w:t>
      </w:r>
      <w:r w:rsidR="00C4002E">
        <w:rPr>
          <w:rFonts w:ascii="Times New Roman" w:eastAsia="Times New Roman" w:hAnsi="Times New Roman" w:cs="Times New Roman"/>
          <w:sz w:val="24"/>
          <w:szCs w:val="24"/>
        </w:rPr>
        <w:t>must</w:t>
      </w:r>
      <w:r w:rsidR="00874F6A">
        <w:rPr>
          <w:rFonts w:ascii="Times New Roman" w:eastAsia="Times New Roman" w:hAnsi="Times New Roman" w:cs="Times New Roman"/>
          <w:sz w:val="24"/>
          <w:szCs w:val="24"/>
        </w:rPr>
        <w:t xml:space="preserve"> be read </w:t>
      </w:r>
      <w:r>
        <w:rPr>
          <w:rFonts w:ascii="Times New Roman" w:eastAsia="Times New Roman" w:hAnsi="Times New Roman" w:cs="Times New Roman"/>
          <w:sz w:val="24"/>
          <w:szCs w:val="24"/>
        </w:rPr>
        <w:t>consistently with relevant international human rights law</w:t>
      </w:r>
      <w:r w:rsidR="00BE6E8F">
        <w:rPr>
          <w:rFonts w:ascii="Times New Roman" w:eastAsia="Times New Roman" w:hAnsi="Times New Roman" w:cs="Times New Roman"/>
          <w:sz w:val="24"/>
          <w:szCs w:val="24"/>
        </w:rPr>
        <w:t xml:space="preserve"> </w:t>
      </w:r>
      <w:r w:rsidR="00E7736B">
        <w:rPr>
          <w:rFonts w:ascii="Times New Roman" w:eastAsia="Times New Roman" w:hAnsi="Times New Roman" w:cs="Times New Roman"/>
          <w:sz w:val="24"/>
          <w:szCs w:val="24"/>
        </w:rPr>
        <w:t>on</w:t>
      </w:r>
      <w:r w:rsidR="00BE6E8F">
        <w:rPr>
          <w:rFonts w:ascii="Times New Roman" w:eastAsia="Times New Roman" w:hAnsi="Times New Roman" w:cs="Times New Roman"/>
          <w:sz w:val="24"/>
          <w:szCs w:val="24"/>
        </w:rPr>
        <w:t xml:space="preserve"> the right to adequate housing</w:t>
      </w:r>
      <w:r w:rsidR="002E2174">
        <w:rPr>
          <w:rFonts w:ascii="Times New Roman" w:eastAsia="Times New Roman" w:hAnsi="Times New Roman" w:cs="Times New Roman"/>
          <w:sz w:val="24"/>
          <w:szCs w:val="24"/>
        </w:rPr>
        <w:t>.</w:t>
      </w:r>
      <w:bookmarkStart w:id="31" w:name="_lnxbz9" w:colFirst="0" w:colLast="0"/>
      <w:bookmarkEnd w:id="31"/>
      <w:r w:rsidR="008B6E0B">
        <w:rPr>
          <w:rFonts w:ascii="Times New Roman" w:eastAsia="Times New Roman" w:hAnsi="Times New Roman" w:cs="Times New Roman"/>
          <w:sz w:val="24"/>
          <w:szCs w:val="24"/>
        </w:rPr>
        <w:t>The p</w:t>
      </w:r>
      <w:r>
        <w:rPr>
          <w:rFonts w:ascii="Times New Roman" w:eastAsia="Times New Roman" w:hAnsi="Times New Roman" w:cs="Times New Roman"/>
          <w:sz w:val="24"/>
          <w:szCs w:val="24"/>
        </w:rPr>
        <w:t xml:space="preserve">rotections </w:t>
      </w:r>
      <w:r w:rsidR="003E62B2">
        <w:rPr>
          <w:rFonts w:ascii="Times New Roman" w:eastAsia="Times New Roman" w:hAnsi="Times New Roman" w:cs="Times New Roman"/>
          <w:sz w:val="24"/>
          <w:szCs w:val="24"/>
        </w:rPr>
        <w:t xml:space="preserve">provided </w:t>
      </w:r>
      <w:r w:rsidR="008B6E0B">
        <w:rPr>
          <w:rFonts w:ascii="Times New Roman" w:eastAsia="Times New Roman" w:hAnsi="Times New Roman" w:cs="Times New Roman"/>
          <w:sz w:val="24"/>
          <w:szCs w:val="24"/>
        </w:rPr>
        <w:t>under</w:t>
      </w:r>
      <w:r>
        <w:rPr>
          <w:rFonts w:ascii="Times New Roman" w:eastAsia="Times New Roman" w:hAnsi="Times New Roman" w:cs="Times New Roman"/>
          <w:sz w:val="24"/>
          <w:szCs w:val="24"/>
        </w:rPr>
        <w:t xml:space="preserve"> the </w:t>
      </w:r>
      <w:r w:rsidR="00AE2754">
        <w:rPr>
          <w:rFonts w:ascii="Times New Roman" w:eastAsia="Times New Roman" w:hAnsi="Times New Roman" w:cs="Times New Roman"/>
          <w:sz w:val="24"/>
          <w:szCs w:val="24"/>
        </w:rPr>
        <w:t>Code</w:t>
      </w:r>
      <w:r>
        <w:rPr>
          <w:rFonts w:ascii="Times New Roman" w:eastAsia="Times New Roman" w:hAnsi="Times New Roman" w:cs="Times New Roman"/>
          <w:sz w:val="24"/>
          <w:szCs w:val="24"/>
        </w:rPr>
        <w:t xml:space="preserve"> should be interpreted so that they apply equally to the most marginalized groups </w:t>
      </w:r>
      <w:r w:rsidR="001C223A">
        <w:rPr>
          <w:rFonts w:ascii="Times New Roman" w:eastAsia="Times New Roman" w:hAnsi="Times New Roman" w:cs="Times New Roman"/>
          <w:sz w:val="24"/>
          <w:szCs w:val="24"/>
        </w:rPr>
        <w:t>facing</w:t>
      </w:r>
      <w:r>
        <w:rPr>
          <w:rFonts w:ascii="Times New Roman" w:eastAsia="Times New Roman" w:hAnsi="Times New Roman" w:cs="Times New Roman"/>
          <w:sz w:val="24"/>
          <w:szCs w:val="24"/>
        </w:rPr>
        <w:t xml:space="preserve"> the most severe forms of housing deprivation, such as when discriminatory impact</w:t>
      </w:r>
      <w:r w:rsidR="006C12C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may result in homelessness. </w:t>
      </w:r>
      <w:r w:rsidR="001C5B99">
        <w:rPr>
          <w:rFonts w:ascii="Times New Roman" w:eastAsia="Times New Roman" w:hAnsi="Times New Roman" w:cs="Times New Roman"/>
          <w:sz w:val="24"/>
          <w:szCs w:val="24"/>
        </w:rPr>
        <w:t xml:space="preserve">We must </w:t>
      </w:r>
      <w:r w:rsidR="00F95DBC">
        <w:rPr>
          <w:rFonts w:ascii="Times New Roman" w:eastAsia="Times New Roman" w:hAnsi="Times New Roman" w:cs="Times New Roman"/>
          <w:sz w:val="24"/>
          <w:szCs w:val="24"/>
        </w:rPr>
        <w:t>reject</w:t>
      </w:r>
      <w:r w:rsidR="00F825F1">
        <w:rPr>
          <w:rFonts w:ascii="Times New Roman" w:eastAsia="Times New Roman" w:hAnsi="Times New Roman" w:cs="Times New Roman"/>
          <w:sz w:val="24"/>
          <w:szCs w:val="24"/>
        </w:rPr>
        <w:t xml:space="preserve"> </w:t>
      </w:r>
      <w:r w:rsidR="001C5B99">
        <w:rPr>
          <w:rFonts w:ascii="Times New Roman" w:eastAsia="Times New Roman" w:hAnsi="Times New Roman" w:cs="Times New Roman"/>
          <w:sz w:val="24"/>
          <w:szCs w:val="24"/>
        </w:rPr>
        <w:t>any</w:t>
      </w:r>
      <w:r w:rsidR="00D16346">
        <w:rPr>
          <w:rFonts w:ascii="Times New Roman" w:eastAsia="Times New Roman" w:hAnsi="Times New Roman" w:cs="Times New Roman"/>
          <w:sz w:val="24"/>
          <w:szCs w:val="24"/>
        </w:rPr>
        <w:t xml:space="preserve"> </w:t>
      </w:r>
      <w:r w:rsidR="00F81147">
        <w:rPr>
          <w:rFonts w:ascii="Times New Roman" w:eastAsia="Times New Roman" w:hAnsi="Times New Roman" w:cs="Times New Roman"/>
          <w:sz w:val="24"/>
          <w:szCs w:val="24"/>
        </w:rPr>
        <w:t>notion of</w:t>
      </w:r>
      <w:r>
        <w:rPr>
          <w:rFonts w:ascii="Times New Roman" w:eastAsia="Times New Roman" w:hAnsi="Times New Roman" w:cs="Times New Roman"/>
          <w:sz w:val="24"/>
          <w:szCs w:val="24"/>
        </w:rPr>
        <w:t xml:space="preserve"> “negative inference”</w:t>
      </w:r>
      <w:r w:rsidR="00D46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has sometimes been drawn from the fact that social and economic rights such as the right to adequate housing have been affirmed under international law but not explicitly incorporated into domestic law.</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w:t>
      </w:r>
    </w:p>
    <w:p w14:paraId="265A58C1" w14:textId="77777777" w:rsidR="00E66542" w:rsidRDefault="00E66542">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4"/>
          <w:szCs w:val="24"/>
        </w:rPr>
      </w:pPr>
    </w:p>
    <w:p w14:paraId="4B5EF488" w14:textId="14A050F7" w:rsidR="00A04000" w:rsidRDefault="00BC2D96">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false</w:t>
      </w:r>
      <w:r w:rsidR="002D65BF">
        <w:rPr>
          <w:rFonts w:ascii="Times New Roman" w:eastAsia="Times New Roman" w:hAnsi="Times New Roman" w:cs="Times New Roman"/>
          <w:sz w:val="24"/>
          <w:szCs w:val="24"/>
        </w:rPr>
        <w:t xml:space="preserve"> notion of</w:t>
      </w:r>
      <w:r>
        <w:rPr>
          <w:rFonts w:ascii="Times New Roman" w:eastAsia="Times New Roman" w:hAnsi="Times New Roman" w:cs="Times New Roman"/>
          <w:sz w:val="24"/>
          <w:szCs w:val="24"/>
        </w:rPr>
        <w:t xml:space="preserve"> “negative inference” has been invoked to reject reasonable interpretations of domestic law that would provide protection</w:t>
      </w:r>
      <w:r w:rsidR="002E4DE5">
        <w:rPr>
          <w:rFonts w:ascii="Times New Roman" w:eastAsia="Times New Roman" w:hAnsi="Times New Roman" w:cs="Times New Roman"/>
          <w:sz w:val="24"/>
          <w:szCs w:val="24"/>
        </w:rPr>
        <w:t xml:space="preserve"> for</w:t>
      </w:r>
      <w:r>
        <w:rPr>
          <w:rFonts w:ascii="Times New Roman" w:eastAsia="Times New Roman" w:hAnsi="Times New Roman" w:cs="Times New Roman"/>
          <w:sz w:val="24"/>
          <w:szCs w:val="24"/>
        </w:rPr>
        <w:t xml:space="preserve"> social and economic rights such as the right to </w:t>
      </w:r>
      <w:r w:rsidR="00E66542">
        <w:rPr>
          <w:rFonts w:ascii="Times New Roman" w:eastAsia="Times New Roman" w:hAnsi="Times New Roman" w:cs="Times New Roman"/>
          <w:sz w:val="24"/>
          <w:szCs w:val="24"/>
        </w:rPr>
        <w:t xml:space="preserve">adequate </w:t>
      </w:r>
      <w:r>
        <w:rPr>
          <w:rFonts w:ascii="Times New Roman" w:eastAsia="Times New Roman" w:hAnsi="Times New Roman" w:cs="Times New Roman"/>
          <w:sz w:val="24"/>
          <w:szCs w:val="24"/>
        </w:rPr>
        <w:t xml:space="preserve">housing, on the basis that this would amount to indirectly incorporating these rights as justiciable under domestic law. Rather than </w:t>
      </w:r>
      <w:r w:rsidR="00B666AC">
        <w:rPr>
          <w:rFonts w:ascii="Times New Roman" w:eastAsia="Times New Roman" w:hAnsi="Times New Roman" w:cs="Times New Roman"/>
          <w:sz w:val="24"/>
          <w:szCs w:val="24"/>
        </w:rPr>
        <w:t xml:space="preserve">favouring </w:t>
      </w:r>
      <w:r>
        <w:rPr>
          <w:rFonts w:ascii="Times New Roman" w:eastAsia="Times New Roman" w:hAnsi="Times New Roman" w:cs="Times New Roman"/>
          <w:sz w:val="24"/>
          <w:szCs w:val="24"/>
        </w:rPr>
        <w:t xml:space="preserve">interpretations that accord with international human rights law, “negative inferentialism”  </w:t>
      </w:r>
      <w:r w:rsidR="00AF0961">
        <w:rPr>
          <w:rFonts w:ascii="Times New Roman" w:eastAsia="Times New Roman" w:hAnsi="Times New Roman" w:cs="Times New Roman"/>
          <w:sz w:val="24"/>
          <w:szCs w:val="24"/>
        </w:rPr>
        <w:t xml:space="preserve">leads to </w:t>
      </w:r>
      <w:r>
        <w:rPr>
          <w:rFonts w:ascii="Times New Roman" w:eastAsia="Times New Roman" w:hAnsi="Times New Roman" w:cs="Times New Roman"/>
          <w:sz w:val="24"/>
          <w:szCs w:val="24"/>
        </w:rPr>
        <w:t xml:space="preserve">the opposite result – </w:t>
      </w:r>
      <w:r w:rsidR="00C057BD">
        <w:rPr>
          <w:rFonts w:ascii="Times New Roman" w:eastAsia="Times New Roman" w:hAnsi="Times New Roman" w:cs="Times New Roman"/>
          <w:sz w:val="24"/>
          <w:szCs w:val="24"/>
        </w:rPr>
        <w:t xml:space="preserve">that is, </w:t>
      </w:r>
      <w:r>
        <w:rPr>
          <w:rFonts w:ascii="Times New Roman" w:eastAsia="Times New Roman" w:hAnsi="Times New Roman" w:cs="Times New Roman"/>
          <w:sz w:val="24"/>
          <w:szCs w:val="24"/>
        </w:rPr>
        <w:t xml:space="preserve">interpretations that place Canada in non-compliance with international human rights </w:t>
      </w:r>
      <w:r w:rsidR="00AF0961">
        <w:rPr>
          <w:rFonts w:ascii="Times New Roman" w:eastAsia="Times New Roman" w:hAnsi="Times New Roman" w:cs="Times New Roman"/>
          <w:sz w:val="24"/>
          <w:szCs w:val="24"/>
        </w:rPr>
        <w:t xml:space="preserve">obligations. </w:t>
      </w:r>
      <w:r>
        <w:rPr>
          <w:rFonts w:ascii="Times New Roman" w:eastAsia="Times New Roman" w:hAnsi="Times New Roman" w:cs="Times New Roman"/>
          <w:sz w:val="24"/>
          <w:szCs w:val="24"/>
        </w:rPr>
        <w:t xml:space="preserve"> In the present case, the differential impact of impugned </w:t>
      </w:r>
      <w:r w:rsidR="00156909">
        <w:rPr>
          <w:rFonts w:ascii="Times New Roman" w:eastAsia="Times New Roman" w:hAnsi="Times New Roman" w:cs="Times New Roman"/>
          <w:sz w:val="24"/>
          <w:szCs w:val="24"/>
        </w:rPr>
        <w:t xml:space="preserve">business </w:t>
      </w:r>
      <w:r>
        <w:rPr>
          <w:rFonts w:ascii="Times New Roman" w:eastAsia="Times New Roman" w:hAnsi="Times New Roman" w:cs="Times New Roman"/>
          <w:sz w:val="24"/>
          <w:szCs w:val="24"/>
        </w:rPr>
        <w:t>practices deprive</w:t>
      </w:r>
      <w:r w:rsidR="0055133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protected groups of housing. Accommodating their needs includes ensuring that they are not rendered homeless and have access to adequate housing. </w:t>
      </w:r>
      <w:r w:rsidR="00A72476">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hese Code-related obligations are </w:t>
      </w:r>
      <w:r w:rsidR="00FF6215">
        <w:rPr>
          <w:rFonts w:ascii="Times New Roman" w:eastAsia="Times New Roman" w:hAnsi="Times New Roman" w:cs="Times New Roman"/>
          <w:sz w:val="24"/>
          <w:szCs w:val="24"/>
        </w:rPr>
        <w:t xml:space="preserve">simply </w:t>
      </w:r>
      <w:r>
        <w:rPr>
          <w:rFonts w:ascii="Times New Roman" w:eastAsia="Times New Roman" w:hAnsi="Times New Roman" w:cs="Times New Roman"/>
          <w:sz w:val="24"/>
          <w:szCs w:val="24"/>
        </w:rPr>
        <w:t xml:space="preserve">consistent with the recognition of housing as a human right under international human rights law.  </w:t>
      </w:r>
    </w:p>
    <w:p w14:paraId="14D7DB34" w14:textId="77777777" w:rsidR="00A04000" w:rsidRDefault="00A04000">
      <w:pPr>
        <w:pBdr>
          <w:top w:val="nil"/>
          <w:left w:val="nil"/>
          <w:bottom w:val="nil"/>
          <w:right w:val="nil"/>
          <w:between w:val="nil"/>
        </w:pBdr>
        <w:shd w:val="clear" w:color="auto" w:fill="FFFFFF"/>
        <w:spacing w:after="0" w:line="240" w:lineRule="auto"/>
        <w:rPr>
          <w:rFonts w:ascii="Times New Roman" w:eastAsia="Times New Roman" w:hAnsi="Times New Roman" w:cs="Times New Roman"/>
          <w:b/>
          <w:sz w:val="24"/>
          <w:szCs w:val="24"/>
        </w:rPr>
      </w:pPr>
    </w:p>
    <w:p w14:paraId="3900ABD3" w14:textId="09997961" w:rsidR="00AD74F3" w:rsidRDefault="00BC2D96" w:rsidP="006A2C1B">
      <w:pPr>
        <w:pStyle w:val="Heading2"/>
        <w:numPr>
          <w:ilvl w:val="0"/>
          <w:numId w:val="8"/>
        </w:numPr>
      </w:pPr>
      <w:bookmarkStart w:id="32" w:name="_35nkun2" w:colFirst="0" w:colLast="0"/>
      <w:bookmarkStart w:id="33" w:name="_Toc22031128"/>
      <w:bookmarkEnd w:id="32"/>
      <w:r>
        <w:t xml:space="preserve">International </w:t>
      </w:r>
      <w:r w:rsidR="00845C9E" w:rsidRPr="006A2C1B">
        <w:t>h</w:t>
      </w:r>
      <w:r w:rsidRPr="006A2C1B">
        <w:t>uman</w:t>
      </w:r>
      <w:r>
        <w:t xml:space="preserve"> </w:t>
      </w:r>
      <w:r w:rsidR="0024405D">
        <w:t>r</w:t>
      </w:r>
      <w:r>
        <w:t xml:space="preserve">ights </w:t>
      </w:r>
      <w:r w:rsidR="0024405D">
        <w:t>l</w:t>
      </w:r>
      <w:r>
        <w:t xml:space="preserve">aw and </w:t>
      </w:r>
      <w:r w:rsidR="0024405D">
        <w:t>r</w:t>
      </w:r>
      <w:r>
        <w:t>easonable</w:t>
      </w:r>
      <w:r w:rsidR="00AF0961">
        <w:t xml:space="preserve"> </w:t>
      </w:r>
      <w:r w:rsidR="00AD74F3">
        <w:t>a</w:t>
      </w:r>
      <w:r w:rsidR="00AF0961">
        <w:t>ccommodation</w:t>
      </w:r>
      <w:bookmarkEnd w:id="33"/>
    </w:p>
    <w:p w14:paraId="1B4B023F" w14:textId="03ADAE34" w:rsidR="00A04000" w:rsidRPr="00AF0961" w:rsidRDefault="008756A8" w:rsidP="00051103">
      <w:pPr>
        <w:pStyle w:val="Heading2"/>
        <w:shd w:val="clear" w:color="auto" w:fill="FFFFFF"/>
        <w:spacing w:after="120"/>
        <w:rPr>
          <w:bCs/>
        </w:rPr>
      </w:pPr>
      <w:bookmarkStart w:id="34" w:name="_Toc22031129"/>
      <w:r w:rsidRPr="00AF0961">
        <w:rPr>
          <w:b w:val="0"/>
          <w:bCs/>
        </w:rPr>
        <w:t>I</w:t>
      </w:r>
      <w:r w:rsidR="00BC2D96" w:rsidRPr="00AF0961">
        <w:rPr>
          <w:b w:val="0"/>
          <w:bCs/>
        </w:rPr>
        <w:t xml:space="preserve">nternational human rights </w:t>
      </w:r>
      <w:r w:rsidR="00394F37" w:rsidRPr="00AF0961">
        <w:rPr>
          <w:b w:val="0"/>
          <w:bCs/>
        </w:rPr>
        <w:t>law</w:t>
      </w:r>
      <w:r w:rsidR="00BC2D96" w:rsidRPr="00AF0961">
        <w:rPr>
          <w:b w:val="0"/>
          <w:bCs/>
        </w:rPr>
        <w:t xml:space="preserve"> provide</w:t>
      </w:r>
      <w:r w:rsidR="00394F37" w:rsidRPr="00AF0961">
        <w:rPr>
          <w:b w:val="0"/>
          <w:bCs/>
        </w:rPr>
        <w:t>s</w:t>
      </w:r>
      <w:r w:rsidR="00BC2D96" w:rsidRPr="00AF0961">
        <w:rPr>
          <w:b w:val="0"/>
          <w:bCs/>
        </w:rPr>
        <w:t xml:space="preserve"> guidance as to what is reasonab</w:t>
      </w:r>
      <w:r w:rsidR="00BC2D96" w:rsidRPr="00051103">
        <w:rPr>
          <w:b w:val="0"/>
          <w:bCs/>
        </w:rPr>
        <w:t>le in the context of the duty to accommodate Code-protected groups as required under section 11.</w:t>
      </w:r>
      <w:r w:rsidR="00BC2D96" w:rsidRPr="00AF0961">
        <w:rPr>
          <w:b w:val="0"/>
          <w:bCs/>
          <w:vertAlign w:val="superscript"/>
        </w:rPr>
        <w:footnoteReference w:id="27"/>
      </w:r>
      <w:bookmarkEnd w:id="34"/>
      <w:r w:rsidR="00BC2D96" w:rsidRPr="00AF0961">
        <w:rPr>
          <w:b w:val="0"/>
          <w:bCs/>
        </w:rPr>
        <w:t xml:space="preserve"> </w:t>
      </w:r>
    </w:p>
    <w:p w14:paraId="27A1E4E2" w14:textId="760947D3" w:rsidR="00A04000" w:rsidRDefault="00BC2D96">
      <w:pPr>
        <w:shd w:val="clear" w:color="auto" w:fill="FFFFFF"/>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Supreme Court of Canada has relied on international human rights obligations in assessing </w:t>
      </w:r>
      <w:r w:rsidR="003B75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‘reasonable</w:t>
      </w:r>
      <w:r w:rsidR="00AB44D9">
        <w:rPr>
          <w:rFonts w:ascii="Times New Roman" w:eastAsia="Times New Roman" w:hAnsi="Times New Roman" w:cs="Times New Roman"/>
          <w:sz w:val="24"/>
          <w:szCs w:val="24"/>
        </w:rPr>
        <w:t>ness</w:t>
      </w:r>
      <w:r>
        <w:rPr>
          <w:rFonts w:ascii="Times New Roman" w:eastAsia="Times New Roman" w:hAnsi="Times New Roman" w:cs="Times New Roman"/>
          <w:sz w:val="24"/>
          <w:szCs w:val="24"/>
        </w:rPr>
        <w:t xml:space="preserve">’, both under the </w:t>
      </w:r>
      <w:r w:rsidRPr="00051103">
        <w:rPr>
          <w:rFonts w:ascii="Times New Roman" w:eastAsia="Times New Roman" w:hAnsi="Times New Roman" w:cs="Times New Roman"/>
          <w:i/>
          <w:iCs/>
          <w:sz w:val="24"/>
          <w:szCs w:val="24"/>
        </w:rPr>
        <w:t xml:space="preserve">Charter </w:t>
      </w:r>
      <w:r w:rsidR="00310AD9" w:rsidRPr="00051103">
        <w:rPr>
          <w:rFonts w:ascii="Times New Roman" w:eastAsia="Times New Roman" w:hAnsi="Times New Roman" w:cs="Times New Roman"/>
          <w:i/>
          <w:iCs/>
          <w:sz w:val="24"/>
          <w:szCs w:val="24"/>
        </w:rPr>
        <w:t>of Rights and Freedoms</w:t>
      </w:r>
      <w:r w:rsidR="00310A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2A55E2">
        <w:rPr>
          <w:rFonts w:ascii="Times New Roman" w:eastAsia="Times New Roman" w:hAnsi="Times New Roman" w:cs="Times New Roman"/>
          <w:sz w:val="24"/>
          <w:szCs w:val="24"/>
        </w:rPr>
        <w:t>“</w:t>
      </w:r>
      <w:r w:rsidR="00310AD9">
        <w:rPr>
          <w:rFonts w:ascii="Times New Roman" w:eastAsia="Times New Roman" w:hAnsi="Times New Roman" w:cs="Times New Roman"/>
          <w:sz w:val="24"/>
          <w:szCs w:val="24"/>
        </w:rPr>
        <w:t>Charter”</w:t>
      </w:r>
      <w:r>
        <w:rPr>
          <w:rFonts w:ascii="Times New Roman" w:eastAsia="Times New Roman" w:hAnsi="Times New Roman" w:cs="Times New Roman"/>
          <w:sz w:val="24"/>
          <w:szCs w:val="24"/>
        </w:rPr>
        <w:t>) and in statutory interpretation.</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Slaight Communications</w:t>
      </w:r>
      <w:r>
        <w:rPr>
          <w:rFonts w:ascii="Times New Roman" w:eastAsia="Times New Roman" w:hAnsi="Times New Roman" w:cs="Times New Roman"/>
          <w:sz w:val="24"/>
          <w:szCs w:val="24"/>
        </w:rPr>
        <w:t>, the Court referred to the right to work under the ICESCR in assessing whether a restriction on a private employer’s right to freedom of expression under the Charter constituted a reasonable limit under section 1.</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Protection of the rights of workers as a vulnerable group under the ICESCR was seen as a critical measure of what may reasonably be required of private employers in the context of labour relations to address the vulnerability of workers</w:t>
      </w:r>
      <w:r w:rsidR="0087379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8D67C36" w14:textId="77777777" w:rsidR="00A04000" w:rsidRPr="00051103" w:rsidRDefault="00BC2D96">
      <w:pPr>
        <w:shd w:val="clear" w:color="auto" w:fill="FFFFFF"/>
        <w:spacing w:after="120" w:line="240" w:lineRule="auto"/>
        <w:ind w:left="720"/>
        <w:rPr>
          <w:rFonts w:ascii="Times New Roman" w:eastAsia="Times New Roman" w:hAnsi="Times New Roman" w:cs="Times New Roman"/>
          <w:sz w:val="24"/>
          <w:szCs w:val="24"/>
        </w:rPr>
      </w:pPr>
      <w:r w:rsidRPr="00051103">
        <w:rPr>
          <w:rFonts w:ascii="Times New Roman" w:eastAsia="Times New Roman" w:hAnsi="Times New Roman" w:cs="Times New Roman"/>
          <w:sz w:val="24"/>
          <w:szCs w:val="24"/>
        </w:rPr>
        <w:t>Especially in light of Canada's ratification of the</w:t>
      </w:r>
      <w:r w:rsidRPr="00051103">
        <w:rPr>
          <w:rFonts w:ascii="Times New Roman" w:eastAsia="Times New Roman" w:hAnsi="Times New Roman" w:cs="Times New Roman"/>
          <w:i/>
          <w:sz w:val="24"/>
          <w:szCs w:val="24"/>
        </w:rPr>
        <w:t> International Covenant on Economic, Social and Cultural Rights</w:t>
      </w:r>
      <w:r w:rsidRPr="00051103">
        <w:rPr>
          <w:rFonts w:ascii="Times New Roman" w:eastAsia="Times New Roman" w:hAnsi="Times New Roman" w:cs="Times New Roman"/>
          <w:sz w:val="24"/>
          <w:szCs w:val="24"/>
        </w:rPr>
        <w:t>, G.A. Res. 2200 A (XXI), 21 U.N. GAOR, Supp. (No. 16) 49, U.N. Doc. A/6316 (1966), and commitment therein to protect,</w:t>
      </w:r>
      <w:r w:rsidRPr="00051103">
        <w:rPr>
          <w:rFonts w:ascii="Times New Roman" w:eastAsia="Times New Roman" w:hAnsi="Times New Roman" w:cs="Times New Roman"/>
          <w:i/>
          <w:sz w:val="24"/>
          <w:szCs w:val="24"/>
        </w:rPr>
        <w:t> inter alia</w:t>
      </w:r>
      <w:r w:rsidRPr="00051103">
        <w:rPr>
          <w:rFonts w:ascii="Times New Roman" w:eastAsia="Times New Roman" w:hAnsi="Times New Roman" w:cs="Times New Roman"/>
          <w:sz w:val="24"/>
          <w:szCs w:val="24"/>
        </w:rPr>
        <w:t>, the right to work in its various dimensions found in Article 6 of that treaty, it cannot be doubted that the objective in this case is a very important one.  In</w:t>
      </w:r>
      <w:r w:rsidRPr="00051103">
        <w:rPr>
          <w:rFonts w:ascii="Times New Roman" w:eastAsia="Times New Roman" w:hAnsi="Times New Roman" w:cs="Times New Roman"/>
          <w:i/>
          <w:sz w:val="24"/>
          <w:szCs w:val="24"/>
        </w:rPr>
        <w:t> Reference Re Public Service Employee Relations Act (Alta.)</w:t>
      </w:r>
      <w:r w:rsidRPr="00051103">
        <w:rPr>
          <w:rFonts w:ascii="Times New Roman" w:eastAsia="Times New Roman" w:hAnsi="Times New Roman" w:cs="Times New Roman"/>
          <w:sz w:val="24"/>
          <w:szCs w:val="24"/>
        </w:rPr>
        <w:t>,</w:t>
      </w:r>
      <w:r w:rsidRPr="00051103">
        <w:rPr>
          <w:rFonts w:ascii="Times New Roman" w:eastAsia="Times New Roman" w:hAnsi="Times New Roman" w:cs="Times New Roman"/>
          <w:i/>
          <w:sz w:val="24"/>
          <w:szCs w:val="24"/>
        </w:rPr>
        <w:t> supra</w:t>
      </w:r>
      <w:r w:rsidRPr="00051103">
        <w:rPr>
          <w:rFonts w:ascii="Times New Roman" w:eastAsia="Times New Roman" w:hAnsi="Times New Roman" w:cs="Times New Roman"/>
          <w:sz w:val="24"/>
          <w:szCs w:val="24"/>
        </w:rPr>
        <w:t>, I had occasion to say at p. 349:</w:t>
      </w:r>
    </w:p>
    <w:p w14:paraId="2767C962" w14:textId="5D15722C" w:rsidR="00A04000" w:rsidRPr="00051103" w:rsidRDefault="00BC2D96">
      <w:pPr>
        <w:shd w:val="clear" w:color="auto" w:fill="FFFFFF"/>
        <w:spacing w:after="120" w:line="240" w:lineRule="auto"/>
        <w:ind w:left="1440"/>
        <w:rPr>
          <w:rFonts w:ascii="Times New Roman" w:eastAsia="Times New Roman" w:hAnsi="Times New Roman" w:cs="Times New Roman"/>
          <w:sz w:val="24"/>
          <w:szCs w:val="24"/>
        </w:rPr>
      </w:pPr>
      <w:r w:rsidRPr="00051103">
        <w:rPr>
          <w:rFonts w:ascii="Times New Roman" w:eastAsia="Times New Roman" w:hAnsi="Times New Roman" w:cs="Times New Roman"/>
          <w:sz w:val="24"/>
          <w:szCs w:val="24"/>
        </w:rPr>
        <w:t>The content of Canada's international human rights obligations is, in my view, an important indicia of the meaning of the "full benefit of the</w:t>
      </w:r>
      <w:r w:rsidRPr="00051103">
        <w:rPr>
          <w:rFonts w:ascii="Times New Roman" w:eastAsia="Times New Roman" w:hAnsi="Times New Roman" w:cs="Times New Roman"/>
          <w:i/>
          <w:sz w:val="24"/>
          <w:szCs w:val="24"/>
        </w:rPr>
        <w:t> </w:t>
      </w:r>
      <w:hyperlink r:id="rId16">
        <w:r w:rsidRPr="00051103">
          <w:rPr>
            <w:rFonts w:ascii="Times New Roman" w:eastAsia="Times New Roman" w:hAnsi="Times New Roman" w:cs="Times New Roman"/>
            <w:i/>
            <w:sz w:val="24"/>
            <w:szCs w:val="24"/>
          </w:rPr>
          <w:t>Charter </w:t>
        </w:r>
      </w:hyperlink>
      <w:r w:rsidRPr="00051103">
        <w:rPr>
          <w:rFonts w:ascii="Times New Roman" w:eastAsia="Times New Roman" w:hAnsi="Times New Roman" w:cs="Times New Roman"/>
          <w:sz w:val="24"/>
          <w:szCs w:val="24"/>
        </w:rPr>
        <w:t>'s protection".  I believe that the</w:t>
      </w:r>
      <w:r w:rsidRPr="00051103">
        <w:rPr>
          <w:rFonts w:ascii="Times New Roman" w:eastAsia="Times New Roman" w:hAnsi="Times New Roman" w:cs="Times New Roman"/>
          <w:i/>
          <w:sz w:val="24"/>
          <w:szCs w:val="24"/>
        </w:rPr>
        <w:t> </w:t>
      </w:r>
      <w:hyperlink r:id="rId17">
        <w:r w:rsidRPr="00051103">
          <w:rPr>
            <w:rFonts w:ascii="Times New Roman" w:eastAsia="Times New Roman" w:hAnsi="Times New Roman" w:cs="Times New Roman"/>
            <w:i/>
            <w:sz w:val="24"/>
            <w:szCs w:val="24"/>
          </w:rPr>
          <w:t>Charter </w:t>
        </w:r>
      </w:hyperlink>
      <w:r w:rsidRPr="00051103">
        <w:rPr>
          <w:rFonts w:ascii="Times New Roman" w:eastAsia="Times New Roman" w:hAnsi="Times New Roman" w:cs="Times New Roman"/>
          <w:sz w:val="24"/>
          <w:szCs w:val="24"/>
        </w:rPr>
        <w:t>should generally be presumed to provide protection at least as great as that afforded by similar provisions in international human rights documents which Canada has ratified.</w:t>
      </w:r>
    </w:p>
    <w:p w14:paraId="53A57D0E" w14:textId="4CBE026D" w:rsidR="00A04000" w:rsidRPr="00051103" w:rsidRDefault="00BC2D96">
      <w:pPr>
        <w:shd w:val="clear" w:color="auto" w:fill="FFFFFF"/>
        <w:spacing w:after="120" w:line="240" w:lineRule="auto"/>
        <w:ind w:left="720"/>
        <w:rPr>
          <w:rFonts w:ascii="Times New Roman" w:eastAsia="Times New Roman" w:hAnsi="Times New Roman" w:cs="Times New Roman"/>
          <w:sz w:val="24"/>
          <w:szCs w:val="24"/>
        </w:rPr>
      </w:pPr>
      <w:r w:rsidRPr="00051103">
        <w:rPr>
          <w:rFonts w:ascii="Times New Roman" w:eastAsia="Times New Roman" w:hAnsi="Times New Roman" w:cs="Times New Roman"/>
          <w:sz w:val="24"/>
          <w:szCs w:val="24"/>
        </w:rPr>
        <w:t>Given the dual function of </w:t>
      </w:r>
      <w:hyperlink r:id="rId18" w:anchor="!fragment/sec1">
        <w:r w:rsidRPr="00051103">
          <w:rPr>
            <w:rFonts w:ascii="Times New Roman" w:eastAsia="Times New Roman" w:hAnsi="Times New Roman" w:cs="Times New Roman"/>
            <w:sz w:val="24"/>
            <w:szCs w:val="24"/>
          </w:rPr>
          <w:t>s. 1 </w:t>
        </w:r>
      </w:hyperlink>
      <w:r w:rsidRPr="00051103">
        <w:rPr>
          <w:rFonts w:ascii="Times New Roman" w:eastAsia="Times New Roman" w:hAnsi="Times New Roman" w:cs="Times New Roman"/>
          <w:sz w:val="24"/>
          <w:szCs w:val="24"/>
        </w:rPr>
        <w:t> identified in</w:t>
      </w:r>
      <w:r w:rsidRPr="00051103">
        <w:rPr>
          <w:rFonts w:ascii="Times New Roman" w:eastAsia="Times New Roman" w:hAnsi="Times New Roman" w:cs="Times New Roman"/>
          <w:i/>
          <w:sz w:val="24"/>
          <w:szCs w:val="24"/>
        </w:rPr>
        <w:t> Oakes</w:t>
      </w:r>
      <w:r w:rsidRPr="00051103">
        <w:rPr>
          <w:rFonts w:ascii="Times New Roman" w:eastAsia="Times New Roman" w:hAnsi="Times New Roman" w:cs="Times New Roman"/>
          <w:sz w:val="24"/>
          <w:szCs w:val="24"/>
        </w:rPr>
        <w:t>, Canada's international human rights obligations should inform not only the interpretation of the content of the rights guaranteed by the</w:t>
      </w:r>
      <w:r w:rsidRPr="00051103">
        <w:rPr>
          <w:rFonts w:ascii="Times New Roman" w:eastAsia="Times New Roman" w:hAnsi="Times New Roman" w:cs="Times New Roman"/>
          <w:i/>
          <w:sz w:val="24"/>
          <w:szCs w:val="24"/>
        </w:rPr>
        <w:t> </w:t>
      </w:r>
      <w:hyperlink r:id="rId19">
        <w:r w:rsidRPr="00051103">
          <w:rPr>
            <w:rFonts w:ascii="Times New Roman" w:eastAsia="Times New Roman" w:hAnsi="Times New Roman" w:cs="Times New Roman"/>
            <w:i/>
            <w:sz w:val="24"/>
            <w:szCs w:val="24"/>
          </w:rPr>
          <w:t>Charter </w:t>
        </w:r>
      </w:hyperlink>
      <w:r w:rsidRPr="00051103">
        <w:rPr>
          <w:rFonts w:ascii="Times New Roman" w:eastAsia="Times New Roman" w:hAnsi="Times New Roman" w:cs="Times New Roman"/>
          <w:sz w:val="24"/>
          <w:szCs w:val="24"/>
        </w:rPr>
        <w:t>but also the interpretation of what can constitute pressing and substantial </w:t>
      </w:r>
      <w:hyperlink r:id="rId20" w:anchor="!fragment/sec1">
        <w:r w:rsidRPr="00051103">
          <w:rPr>
            <w:rFonts w:ascii="Times New Roman" w:eastAsia="Times New Roman" w:hAnsi="Times New Roman" w:cs="Times New Roman"/>
            <w:sz w:val="24"/>
            <w:szCs w:val="24"/>
          </w:rPr>
          <w:t>s. 1 </w:t>
        </w:r>
      </w:hyperlink>
      <w:r w:rsidRPr="00051103">
        <w:rPr>
          <w:rFonts w:ascii="Times New Roman" w:eastAsia="Times New Roman" w:hAnsi="Times New Roman" w:cs="Times New Roman"/>
          <w:sz w:val="24"/>
          <w:szCs w:val="24"/>
        </w:rPr>
        <w:t>objectives which may justify restrictions upon those rights. Furthermore, for purposes of this stage of the proportionality inquiry, the fact that a value has the status of an international human right, either in customary international law or under a treaty to which Canada is a State Party, should generally be indicative of a high degree of importance attached to that objective. This is consistent with the importance that this Court has placed on the protection of employees as a vulnerable group in society.</w:t>
      </w:r>
      <w:r w:rsidRPr="00051103">
        <w:rPr>
          <w:rFonts w:ascii="Times New Roman" w:eastAsia="Times New Roman" w:hAnsi="Times New Roman" w:cs="Times New Roman"/>
          <w:sz w:val="24"/>
          <w:szCs w:val="24"/>
          <w:vertAlign w:val="superscript"/>
        </w:rPr>
        <w:footnoteReference w:id="30"/>
      </w:r>
    </w:p>
    <w:p w14:paraId="0EBB74BB" w14:textId="3B9588D5" w:rsidR="00A04000" w:rsidRDefault="00BC2D96">
      <w:pPr>
        <w:shd w:val="clear" w:color="auto" w:fill="FFFFFF"/>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Baker</w:t>
      </w:r>
      <w:r>
        <w:rPr>
          <w:rFonts w:ascii="Times New Roman" w:eastAsia="Times New Roman" w:hAnsi="Times New Roman" w:cs="Times New Roman"/>
          <w:sz w:val="24"/>
          <w:szCs w:val="24"/>
        </w:rPr>
        <w:t xml:space="preserve">, the Court referred to the </w:t>
      </w:r>
      <w:r>
        <w:rPr>
          <w:rFonts w:ascii="Times New Roman" w:eastAsia="Times New Roman" w:hAnsi="Times New Roman" w:cs="Times New Roman"/>
          <w:i/>
          <w:sz w:val="24"/>
          <w:szCs w:val="24"/>
        </w:rPr>
        <w:t>Convention on the Rights of the Child</w:t>
      </w:r>
      <w:r>
        <w:rPr>
          <w:rFonts w:ascii="Times New Roman" w:eastAsia="Times New Roman" w:hAnsi="Times New Roman" w:cs="Times New Roman"/>
          <w:sz w:val="24"/>
          <w:szCs w:val="24"/>
        </w:rPr>
        <w:t xml:space="preserve"> (</w:t>
      </w:r>
      <w:r w:rsidR="00583536">
        <w:rPr>
          <w:rFonts w:ascii="Times New Roman" w:eastAsia="Times New Roman" w:hAnsi="Times New Roman" w:cs="Times New Roman"/>
          <w:sz w:val="24"/>
          <w:szCs w:val="24"/>
        </w:rPr>
        <w:t>“</w:t>
      </w:r>
      <w:r>
        <w:rPr>
          <w:rFonts w:ascii="Times New Roman" w:eastAsia="Times New Roman" w:hAnsi="Times New Roman" w:cs="Times New Roman"/>
          <w:sz w:val="24"/>
          <w:szCs w:val="24"/>
        </w:rPr>
        <w:t>CRC</w:t>
      </w:r>
      <w:r w:rsidR="0058353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 assess whether a decision to deport a mother was a reasonable exercise of discretion under the </w:t>
      </w:r>
      <w:r>
        <w:rPr>
          <w:rFonts w:ascii="Times New Roman" w:eastAsia="Times New Roman" w:hAnsi="Times New Roman" w:cs="Times New Roman"/>
          <w:i/>
          <w:sz w:val="24"/>
          <w:szCs w:val="24"/>
        </w:rPr>
        <w:lastRenderedPageBreak/>
        <w:t>Immigration Act</w:t>
      </w:r>
      <w:r>
        <w:rPr>
          <w:rFonts w:ascii="Times New Roman" w:eastAsia="Times New Roman" w:hAnsi="Times New Roman" w:cs="Times New Roman"/>
          <w:sz w:val="24"/>
          <w:szCs w:val="24"/>
        </w:rPr>
        <w:t xml:space="preserve"> where it conflicted with the best interests of the child as recognized under the CRC.</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Again, the Court relied on substantive rights protected under international human rights law to assess what is reasonable under domestic law in order to protect a vulnerable group – in this case</w:t>
      </w:r>
      <w:r w:rsidR="00880C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children:</w:t>
      </w:r>
    </w:p>
    <w:p w14:paraId="4879D9F6" w14:textId="77777777" w:rsidR="00A04000" w:rsidRDefault="00BC2D96">
      <w:pPr>
        <w:shd w:val="clear" w:color="auto" w:fill="FFFFFF"/>
        <w:spacing w:after="12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values and principles of the Convention recognize the importance of being attentive to the rights and best interests of children when decisions are made that relate to and affect their future.  In addition, the preamble, recalling the </w:t>
      </w:r>
      <w:r>
        <w:rPr>
          <w:rFonts w:ascii="Times New Roman" w:eastAsia="Times New Roman" w:hAnsi="Times New Roman" w:cs="Times New Roman"/>
          <w:i/>
          <w:sz w:val="24"/>
          <w:szCs w:val="24"/>
        </w:rPr>
        <w:t>Universal Declaration of Human Rights</w:t>
      </w:r>
      <w:r>
        <w:rPr>
          <w:rFonts w:ascii="Times New Roman" w:eastAsia="Times New Roman" w:hAnsi="Times New Roman" w:cs="Times New Roman"/>
          <w:sz w:val="24"/>
          <w:szCs w:val="24"/>
        </w:rPr>
        <w:t>, recognizes that “childhood is entitled to special care and assistance”.  A similar emphasis on the importance of placing considerable value on the protection of children and their needs and interests is also contained in other international instruments.  The United Nations </w:t>
      </w:r>
      <w:r>
        <w:rPr>
          <w:rFonts w:ascii="Times New Roman" w:eastAsia="Times New Roman" w:hAnsi="Times New Roman" w:cs="Times New Roman"/>
          <w:i/>
          <w:sz w:val="24"/>
          <w:szCs w:val="24"/>
        </w:rPr>
        <w:t>Declaration of the Rights of the Child </w:t>
      </w:r>
      <w:r>
        <w:rPr>
          <w:rFonts w:ascii="Times New Roman" w:eastAsia="Times New Roman" w:hAnsi="Times New Roman" w:cs="Times New Roman"/>
          <w:sz w:val="24"/>
          <w:szCs w:val="24"/>
        </w:rPr>
        <w:t>(1959), in its preamble, states that the child “needs special safeguards and care”.  The principles of the Convention</w:t>
      </w:r>
      <w:r>
        <w:rPr>
          <w:rFonts w:ascii="Times New Roman" w:eastAsia="Times New Roman" w:hAnsi="Times New Roman" w:cs="Times New Roman"/>
          <w:i/>
          <w:sz w:val="24"/>
          <w:szCs w:val="24"/>
        </w:rPr>
        <w:t> </w:t>
      </w:r>
      <w:r>
        <w:rPr>
          <w:rFonts w:ascii="Times New Roman" w:eastAsia="Times New Roman" w:hAnsi="Times New Roman" w:cs="Times New Roman"/>
          <w:sz w:val="24"/>
          <w:szCs w:val="24"/>
        </w:rPr>
        <w:t>and other international instruments place special importance on protections for children and childhood, and on particular consideration of their interests, needs, and rights.  They help show the values that are central in determining whether this decision was a reasonable exercise of the H &amp; C power.</w:t>
      </w:r>
      <w:r>
        <w:rPr>
          <w:rFonts w:ascii="Times New Roman" w:eastAsia="Times New Roman" w:hAnsi="Times New Roman" w:cs="Times New Roman"/>
          <w:sz w:val="24"/>
          <w:szCs w:val="24"/>
          <w:vertAlign w:val="superscript"/>
        </w:rPr>
        <w:footnoteReference w:id="32"/>
      </w:r>
    </w:p>
    <w:p w14:paraId="05AB9CC5" w14:textId="05035BBB" w:rsidR="00A04000" w:rsidRDefault="00BC2D96">
      <w:pPr>
        <w:shd w:val="clear" w:color="auto" w:fill="FFFFFF"/>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human rights law similarly provides important guidance in assessing what is reasonable under the Code in relation to the protection of vulnerable groups from the discriminatory effects of eviction and displacement </w:t>
      </w:r>
      <w:r w:rsidR="00C155AE">
        <w:rPr>
          <w:rFonts w:ascii="Times New Roman" w:eastAsia="Times New Roman" w:hAnsi="Times New Roman" w:cs="Times New Roman"/>
          <w:sz w:val="24"/>
          <w:szCs w:val="24"/>
        </w:rPr>
        <w:t>in housing</w:t>
      </w:r>
      <w:r>
        <w:rPr>
          <w:rFonts w:ascii="Times New Roman" w:eastAsia="Times New Roman" w:hAnsi="Times New Roman" w:cs="Times New Roman"/>
          <w:sz w:val="24"/>
          <w:szCs w:val="24"/>
        </w:rPr>
        <w:t xml:space="preserve"> upgrading and development. </w:t>
      </w:r>
    </w:p>
    <w:p w14:paraId="4E23FBA2" w14:textId="042ACBEF" w:rsidR="003B7577" w:rsidRPr="003B7577" w:rsidRDefault="00BC2D96" w:rsidP="006A2C1B">
      <w:pPr>
        <w:pStyle w:val="Heading1"/>
        <w:numPr>
          <w:ilvl w:val="0"/>
          <w:numId w:val="6"/>
        </w:numPr>
      </w:pPr>
      <w:bookmarkStart w:id="35" w:name="_1ksv4uv" w:colFirst="0" w:colLast="0"/>
      <w:bookmarkStart w:id="36" w:name="_Toc22031130"/>
      <w:bookmarkEnd w:id="35"/>
      <w:r>
        <w:t xml:space="preserve">International </w:t>
      </w:r>
      <w:r w:rsidRPr="006A2C1B">
        <w:t>Human</w:t>
      </w:r>
      <w:r>
        <w:t xml:space="preserve"> Rights Law and Obligations toward Vulnerable Groups in </w:t>
      </w:r>
      <w:r w:rsidR="000C6443">
        <w:t xml:space="preserve">Housing </w:t>
      </w:r>
      <w:r>
        <w:t>Upgrading and Development</w:t>
      </w:r>
      <w:bookmarkEnd w:id="36"/>
    </w:p>
    <w:p w14:paraId="18C50585" w14:textId="7667E091" w:rsidR="00A04000" w:rsidRDefault="00BC2D96" w:rsidP="006A2C1B">
      <w:pPr>
        <w:pStyle w:val="Heading2"/>
        <w:numPr>
          <w:ilvl w:val="0"/>
          <w:numId w:val="9"/>
        </w:numPr>
      </w:pPr>
      <w:bookmarkStart w:id="37" w:name="_44sinio" w:colFirst="0" w:colLast="0"/>
      <w:bookmarkStart w:id="38" w:name="_Toc22031131"/>
      <w:bookmarkEnd w:id="37"/>
      <w:r w:rsidRPr="006A2C1B">
        <w:t>Prohibition</w:t>
      </w:r>
      <w:r>
        <w:t xml:space="preserve"> of </w:t>
      </w:r>
      <w:r w:rsidR="00FA0884">
        <w:t>f</w:t>
      </w:r>
      <w:r>
        <w:t xml:space="preserve">orced </w:t>
      </w:r>
      <w:r w:rsidR="00FA0884">
        <w:t>e</w:t>
      </w:r>
      <w:r>
        <w:t>victions</w:t>
      </w:r>
      <w:bookmarkEnd w:id="38"/>
      <w:r>
        <w:t xml:space="preserve"> </w:t>
      </w:r>
    </w:p>
    <w:p w14:paraId="59717065" w14:textId="77777777" w:rsidR="00A04000" w:rsidRDefault="00BC2D96">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CESCR and other UN human rights bodies have developed extensive jurisprudence on obligations of States in the context of evictions and displacement. The CESCR defines “forced evictions” as “the permanent or temporary removal against their will of individuals, families and/or communities from the homes and/or land which they occupy, </w:t>
      </w:r>
      <w:r>
        <w:rPr>
          <w:rFonts w:ascii="Times New Roman" w:eastAsia="Times New Roman" w:hAnsi="Times New Roman" w:cs="Times New Roman"/>
          <w:sz w:val="24"/>
          <w:szCs w:val="24"/>
          <w:u w:val="single"/>
        </w:rPr>
        <w:t>without the provision of, and access to, appropriate forms of legal or other protection</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[Emphasis added] Forced evictions include removal of existing residents for such things as housing renovation, urban redevelopment, to make way for infrastructure projects or prestigious international events, or for city beautification.</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w:t>
      </w:r>
    </w:p>
    <w:p w14:paraId="6FF1AB8E" w14:textId="025D1C90" w:rsidR="00A04000" w:rsidRDefault="00E6732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international community has long recognized the need for protections of both individuals and communities against forced evictions in the context of upgrading or development.</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In 1988, the </w:t>
      </w:r>
      <w:r>
        <w:rPr>
          <w:rFonts w:ascii="Times New Roman" w:eastAsia="Times New Roman" w:hAnsi="Times New Roman" w:cs="Times New Roman"/>
          <w:sz w:val="24"/>
          <w:szCs w:val="24"/>
        </w:rPr>
        <w:lastRenderedPageBreak/>
        <w:t>General Assembly recognized the "fundamental obligation to protect and improve houses and neighbourhoods, rather than damage or destroy them."</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w:t>
      </w:r>
      <w:r w:rsidR="00D8597D">
        <w:rPr>
          <w:rFonts w:ascii="Times New Roman" w:eastAsia="Times New Roman" w:hAnsi="Times New Roman" w:cs="Times New Roman"/>
          <w:sz w:val="24"/>
          <w:szCs w:val="24"/>
        </w:rPr>
        <w:t xml:space="preserve">The </w:t>
      </w:r>
      <w:r w:rsidR="00427834">
        <w:rPr>
          <w:rFonts w:ascii="Times New Roman" w:eastAsia="Times New Roman" w:hAnsi="Times New Roman" w:cs="Times New Roman"/>
          <w:sz w:val="24"/>
          <w:szCs w:val="24"/>
        </w:rPr>
        <w:t>Office of the UN High Commissioner for Human Rights</w:t>
      </w:r>
      <w:r w:rsidR="00D8597D">
        <w:rPr>
          <w:rFonts w:ascii="Times New Roman" w:eastAsia="Times New Roman" w:hAnsi="Times New Roman" w:cs="Times New Roman"/>
          <w:sz w:val="24"/>
          <w:szCs w:val="24"/>
        </w:rPr>
        <w:t xml:space="preserve"> </w:t>
      </w:r>
      <w:r w:rsidR="003B7577">
        <w:rPr>
          <w:rFonts w:ascii="Times New Roman" w:eastAsia="Times New Roman" w:hAnsi="Times New Roman" w:cs="Times New Roman"/>
          <w:sz w:val="24"/>
          <w:szCs w:val="24"/>
        </w:rPr>
        <w:t xml:space="preserve"> OHCHR</w:t>
      </w:r>
      <w:r w:rsidR="00E95C25">
        <w:rPr>
          <w:rFonts w:ascii="Times New Roman" w:eastAsia="Times New Roman" w:hAnsi="Times New Roman" w:cs="Times New Roman"/>
          <w:sz w:val="24"/>
          <w:szCs w:val="24"/>
        </w:rPr>
        <w:t xml:space="preserve">) </w:t>
      </w:r>
      <w:r w:rsidR="00D8597D">
        <w:rPr>
          <w:rFonts w:ascii="Times New Roman" w:eastAsia="Times New Roman" w:hAnsi="Times New Roman" w:cs="Times New Roman"/>
          <w:sz w:val="24"/>
          <w:szCs w:val="24"/>
        </w:rPr>
        <w:t xml:space="preserve">has stated that </w:t>
      </w:r>
      <w:r w:rsidR="00C609F0">
        <w:rPr>
          <w:rFonts w:ascii="Times New Roman" w:eastAsia="Times New Roman" w:hAnsi="Times New Roman" w:cs="Times New Roman"/>
          <w:sz w:val="24"/>
          <w:szCs w:val="24"/>
        </w:rPr>
        <w:t>f</w:t>
      </w:r>
      <w:r w:rsidR="00BC2D96">
        <w:rPr>
          <w:rFonts w:ascii="Times New Roman" w:eastAsia="Times New Roman" w:hAnsi="Times New Roman" w:cs="Times New Roman"/>
          <w:sz w:val="24"/>
          <w:szCs w:val="24"/>
        </w:rPr>
        <w:t>orced evictions constitute “a gross violation of human rights and a prima facie violation of the right to adequate housing”</w:t>
      </w:r>
      <w:r w:rsidR="009F10CE">
        <w:rPr>
          <w:rStyle w:val="FootnoteReference"/>
          <w:rFonts w:ascii="Times New Roman" w:eastAsia="Times New Roman" w:hAnsi="Times New Roman" w:cs="Times New Roman"/>
          <w:sz w:val="24"/>
          <w:szCs w:val="24"/>
        </w:rPr>
        <w:footnoteReference w:id="37"/>
      </w:r>
      <w:r w:rsidR="00BC2D96">
        <w:rPr>
          <w:rFonts w:ascii="Times New Roman" w:eastAsia="Times New Roman" w:hAnsi="Times New Roman" w:cs="Times New Roman"/>
          <w:sz w:val="24"/>
          <w:szCs w:val="24"/>
        </w:rPr>
        <w:t xml:space="preserve"> </w:t>
      </w:r>
      <w:r w:rsidR="00C609F0">
        <w:rPr>
          <w:rFonts w:ascii="Times New Roman" w:eastAsia="Times New Roman" w:hAnsi="Times New Roman" w:cs="Times New Roman"/>
          <w:sz w:val="24"/>
          <w:szCs w:val="24"/>
        </w:rPr>
        <w:t xml:space="preserve">and that </w:t>
      </w:r>
      <w:r w:rsidR="00BC2D96">
        <w:rPr>
          <w:rFonts w:ascii="Times New Roman" w:eastAsia="Times New Roman" w:hAnsi="Times New Roman" w:cs="Times New Roman"/>
          <w:sz w:val="24"/>
          <w:szCs w:val="24"/>
        </w:rPr>
        <w:t>“[l]arge-scale evictions can in general be justified only in the most exceptional circumstances and only if they take place in accordance with the relevant principles of international law.”</w:t>
      </w:r>
      <w:r w:rsidR="00BC2D96">
        <w:rPr>
          <w:rFonts w:ascii="Times New Roman" w:eastAsia="Times New Roman" w:hAnsi="Times New Roman" w:cs="Times New Roman"/>
          <w:sz w:val="24"/>
          <w:szCs w:val="24"/>
          <w:vertAlign w:val="superscript"/>
        </w:rPr>
        <w:footnoteReference w:id="38"/>
      </w:r>
      <w:r w:rsidR="00BC2D96">
        <w:rPr>
          <w:rFonts w:ascii="Times New Roman" w:eastAsia="Times New Roman" w:hAnsi="Times New Roman" w:cs="Times New Roman"/>
          <w:sz w:val="24"/>
          <w:szCs w:val="24"/>
          <w:vertAlign w:val="superscript"/>
        </w:rPr>
        <w:t xml:space="preserve"> </w:t>
      </w:r>
    </w:p>
    <w:p w14:paraId="254F50C3" w14:textId="0DCAAE19" w:rsidR="00A04000" w:rsidRDefault="00BC2D96">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recognized</w:t>
      </w:r>
      <w:r w:rsidR="00A858FB">
        <w:rPr>
          <w:rFonts w:ascii="Times New Roman" w:eastAsia="Times New Roman" w:hAnsi="Times New Roman" w:cs="Times New Roman"/>
          <w:sz w:val="24"/>
          <w:szCs w:val="24"/>
        </w:rPr>
        <w:t>, however,</w:t>
      </w:r>
      <w:r>
        <w:rPr>
          <w:rFonts w:ascii="Times New Roman" w:eastAsia="Times New Roman" w:hAnsi="Times New Roman" w:cs="Times New Roman"/>
          <w:sz w:val="24"/>
          <w:szCs w:val="24"/>
        </w:rPr>
        <w:t xml:space="preserve"> that there are “inevitable needs for the redevelopment of certain areas in growing cities and for public agencies to acquire land for public use and infrastructure.”</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International human rights law does not prevent such development from taking place, but it does impose requirements on States to ensure that measures are taken to ensure access to housing for vulnerable groups</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 either by governments or through legislation that governs the actions of non-governmental entities.</w:t>
      </w:r>
    </w:p>
    <w:p w14:paraId="6EDA0B26" w14:textId="6CE2B633"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protection of the right to </w:t>
      </w:r>
      <w:r w:rsidR="00083CF9">
        <w:rPr>
          <w:rFonts w:ascii="Times New Roman" w:eastAsia="Times New Roman" w:hAnsi="Times New Roman" w:cs="Times New Roman"/>
          <w:sz w:val="24"/>
          <w:szCs w:val="24"/>
        </w:rPr>
        <w:t xml:space="preserve">adequate </w:t>
      </w:r>
      <w:r>
        <w:rPr>
          <w:rFonts w:ascii="Times New Roman" w:eastAsia="Times New Roman" w:hAnsi="Times New Roman" w:cs="Times New Roman"/>
          <w:sz w:val="24"/>
          <w:szCs w:val="24"/>
        </w:rPr>
        <w:t>housing for vulnerable groups in the context of eviction and displacement is a component of the right to non-discrimination in article 2(2) of the IC</w:t>
      </w:r>
      <w:r w:rsidR="00BC28A7">
        <w:rPr>
          <w:rFonts w:ascii="Times New Roman" w:eastAsia="Times New Roman" w:hAnsi="Times New Roman" w:cs="Times New Roman"/>
          <w:sz w:val="24"/>
          <w:szCs w:val="24"/>
        </w:rPr>
        <w:t>E</w:t>
      </w:r>
      <w:r>
        <w:rPr>
          <w:rFonts w:ascii="Times New Roman" w:eastAsia="Times New Roman" w:hAnsi="Times New Roman" w:cs="Times New Roman"/>
          <w:sz w:val="24"/>
          <w:szCs w:val="24"/>
        </w:rPr>
        <w:t>SCR. The</w:t>
      </w:r>
      <w:r w:rsidR="003B7577">
        <w:rPr>
          <w:rFonts w:ascii="Times New Roman" w:eastAsia="Times New Roman" w:hAnsi="Times New Roman" w:cs="Times New Roman"/>
          <w:sz w:val="24"/>
          <w:szCs w:val="24"/>
        </w:rPr>
        <w:t xml:space="preserve"> OHCHR</w:t>
      </w:r>
      <w:r>
        <w:rPr>
          <w:rFonts w:ascii="Times New Roman" w:eastAsia="Times New Roman" w:hAnsi="Times New Roman" w:cs="Times New Roman"/>
          <w:sz w:val="24"/>
          <w:szCs w:val="24"/>
        </w:rPr>
        <w:t xml:space="preserve"> states that:</w:t>
      </w:r>
    </w:p>
    <w:p w14:paraId="3DEAA77E" w14:textId="77777777" w:rsidR="00A04000" w:rsidRPr="00051103" w:rsidRDefault="00BC2D96">
      <w:pPr>
        <w:ind w:left="720"/>
        <w:rPr>
          <w:rFonts w:ascii="Times New Roman" w:eastAsia="Times New Roman" w:hAnsi="Times New Roman" w:cs="Times New Roman"/>
          <w:sz w:val="24"/>
          <w:szCs w:val="24"/>
        </w:rPr>
      </w:pPr>
      <w:r w:rsidRPr="00051103">
        <w:rPr>
          <w:rFonts w:ascii="Times New Roman" w:eastAsia="Times New Roman" w:hAnsi="Times New Roman" w:cs="Times New Roman"/>
          <w:sz w:val="24"/>
          <w:szCs w:val="24"/>
        </w:rPr>
        <w:t xml:space="preserve">Non-discrimination and equality are fundamental human rights principles and critical components of the right to adequate housing. … The Special Rapporteur on adequate housing has also emphasized that discrimination and segregation in housing can result from poverty and economic marginalization. </w:t>
      </w:r>
    </w:p>
    <w:p w14:paraId="6E285BD2" w14:textId="77777777" w:rsidR="00A04000" w:rsidRPr="00051103" w:rsidRDefault="00BC2D96">
      <w:pPr>
        <w:ind w:left="720"/>
        <w:rPr>
          <w:rFonts w:ascii="Times New Roman" w:eastAsia="Times New Roman" w:hAnsi="Times New Roman" w:cs="Times New Roman"/>
          <w:sz w:val="24"/>
          <w:szCs w:val="24"/>
        </w:rPr>
      </w:pPr>
      <w:r w:rsidRPr="00051103">
        <w:rPr>
          <w:rFonts w:ascii="Times New Roman" w:eastAsia="Times New Roman" w:hAnsi="Times New Roman" w:cs="Times New Roman"/>
          <w:sz w:val="24"/>
          <w:szCs w:val="24"/>
        </w:rPr>
        <w:t xml:space="preserve">The impact of discrimination is compounded when an individual suffers double or multiple discrimination—for instance, on the basis of sex and race, national origin or disability. ... </w:t>
      </w:r>
    </w:p>
    <w:p w14:paraId="1D577955" w14:textId="77777777" w:rsidR="00A04000" w:rsidRPr="00E045F2" w:rsidRDefault="00BC2D96">
      <w:pPr>
        <w:ind w:left="720"/>
        <w:rPr>
          <w:rFonts w:ascii="Times New Roman" w:eastAsia="Times New Roman" w:hAnsi="Times New Roman" w:cs="Times New Roman"/>
          <w:b/>
          <w:sz w:val="24"/>
          <w:szCs w:val="24"/>
        </w:rPr>
      </w:pPr>
      <w:r w:rsidRPr="00051103">
        <w:rPr>
          <w:rFonts w:ascii="Times New Roman" w:eastAsia="Times New Roman" w:hAnsi="Times New Roman" w:cs="Times New Roman"/>
          <w:sz w:val="24"/>
          <w:szCs w:val="24"/>
        </w:rPr>
        <w:t>States have an obligation to prohibit and eliminate discrimination on all grounds and ensure de jure and de facto equality in access to adequate housing and protection against forced eviction</w:t>
      </w:r>
      <w:r w:rsidRPr="00670969">
        <w:rPr>
          <w:rFonts w:ascii="Times New Roman" w:eastAsia="Times New Roman" w:hAnsi="Times New Roman" w:cs="Times New Roman"/>
          <w:sz w:val="24"/>
          <w:szCs w:val="24"/>
        </w:rPr>
        <w:t>.</w:t>
      </w:r>
      <w:r w:rsidRPr="00670969">
        <w:rPr>
          <w:rFonts w:ascii="Times New Roman" w:eastAsia="Times New Roman" w:hAnsi="Times New Roman" w:cs="Times New Roman"/>
          <w:sz w:val="24"/>
          <w:szCs w:val="24"/>
          <w:vertAlign w:val="superscript"/>
        </w:rPr>
        <w:footnoteReference w:id="41"/>
      </w:r>
      <w:r w:rsidRPr="00670969">
        <w:rPr>
          <w:rFonts w:ascii="Times New Roman" w:eastAsia="Times New Roman" w:hAnsi="Times New Roman" w:cs="Times New Roman"/>
          <w:sz w:val="24"/>
          <w:szCs w:val="24"/>
        </w:rPr>
        <w:t xml:space="preserve"> </w:t>
      </w:r>
    </w:p>
    <w:p w14:paraId="3FD6770A" w14:textId="485A247A" w:rsidR="00A04000" w:rsidRDefault="00BC2D96">
      <w:pPr>
        <w:jc w:val="both"/>
        <w:rPr>
          <w:rFonts w:ascii="Times New Roman" w:eastAsia="Times New Roman" w:hAnsi="Times New Roman" w:cs="Times New Roman"/>
          <w:sz w:val="24"/>
          <w:szCs w:val="24"/>
        </w:rPr>
      </w:pPr>
      <w:bookmarkStart w:id="39" w:name="_2jxsxqh" w:colFirst="0" w:colLast="0"/>
      <w:bookmarkEnd w:id="39"/>
      <w:r>
        <w:rPr>
          <w:rFonts w:ascii="Times New Roman" w:eastAsia="Times New Roman" w:hAnsi="Times New Roman" w:cs="Times New Roman"/>
          <w:sz w:val="24"/>
          <w:szCs w:val="24"/>
        </w:rPr>
        <w:t xml:space="preserve">The CESCR has recognized that women, children, youth, older persons, Indigenous people, ethnic and other minorities, and other vulnerable individuals and groups suffer disproportionately from </w:t>
      </w:r>
      <w:r>
        <w:rPr>
          <w:rFonts w:ascii="Times New Roman" w:eastAsia="Times New Roman" w:hAnsi="Times New Roman" w:cs="Times New Roman"/>
          <w:sz w:val="24"/>
          <w:szCs w:val="24"/>
        </w:rPr>
        <w:lastRenderedPageBreak/>
        <w:t>forced eviction.</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As such, the non-discrimination provisions of Articles 2.2 and 3</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of the ICESCR </w:t>
      </w:r>
      <w:r w:rsidR="00C13EFB">
        <w:rPr>
          <w:rFonts w:ascii="Times New Roman" w:eastAsia="Times New Roman" w:hAnsi="Times New Roman" w:cs="Times New Roman"/>
          <w:sz w:val="24"/>
          <w:szCs w:val="24"/>
        </w:rPr>
        <w:t>“</w:t>
      </w:r>
      <w:r>
        <w:rPr>
          <w:rFonts w:ascii="Times New Roman" w:eastAsia="Times New Roman" w:hAnsi="Times New Roman" w:cs="Times New Roman"/>
          <w:sz w:val="24"/>
          <w:szCs w:val="24"/>
        </w:rPr>
        <w:t>impose an additional obligation upon Governments to ensure that, where evictions do occur, appropriate measures are taken to ensure that no form of discrimination is involved.”</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w:t>
      </w:r>
    </w:p>
    <w:p w14:paraId="21A18736" w14:textId="4CD108AB" w:rsidR="00A04000" w:rsidRDefault="00BC2D96">
      <w:pPr>
        <w:shd w:val="clear" w:color="auto" w:fill="FFFFFF"/>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States must prevent forced evictions by private actors. The CESCR notes that this</w:t>
      </w:r>
      <w:r w:rsidR="000B021F">
        <w:rPr>
          <w:rFonts w:ascii="Times New Roman" w:eastAsia="Times New Roman" w:hAnsi="Times New Roman" w:cs="Times New Roman"/>
          <w:sz w:val="24"/>
          <w:szCs w:val="24"/>
        </w:rPr>
        <w:t xml:space="preserve"> requirement</w:t>
      </w:r>
      <w:r>
        <w:rPr>
          <w:rFonts w:ascii="Times New Roman" w:eastAsia="Times New Roman" w:hAnsi="Times New Roman" w:cs="Times New Roman"/>
          <w:sz w:val="24"/>
          <w:szCs w:val="24"/>
        </w:rPr>
        <w:t xml:space="preserve"> is reinforced by Article 17.1 of the </w:t>
      </w:r>
      <w:r>
        <w:rPr>
          <w:rFonts w:ascii="Times New Roman" w:eastAsia="Times New Roman" w:hAnsi="Times New Roman" w:cs="Times New Roman"/>
          <w:i/>
          <w:sz w:val="24"/>
          <w:szCs w:val="24"/>
        </w:rPr>
        <w:t xml:space="preserve">International Covenant on Civil and Political Rights </w:t>
      </w:r>
      <w:r>
        <w:rPr>
          <w:rFonts w:ascii="Times New Roman" w:eastAsia="Times New Roman" w:hAnsi="Times New Roman" w:cs="Times New Roman"/>
          <w:sz w:val="24"/>
          <w:szCs w:val="24"/>
        </w:rPr>
        <w:t>(ICCPR), which recognizes the right to be protected against "arbitrary or unlawful interference" with one's home.</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The CESCR has emphasized that domestic legislation must provide protections that are equivalent to those required under international human rights law:</w:t>
      </w:r>
    </w:p>
    <w:p w14:paraId="4CCCEE85" w14:textId="77777777" w:rsidR="00A04000" w:rsidRDefault="00BC2D96">
      <w:pPr>
        <w:shd w:val="clear" w:color="auto" w:fill="FFFFFF"/>
        <w:spacing w:after="12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In view of the increasing trend in some States towards the Government greatly reducing its responsibilities in the housing sector, States parties must ensure that legislative and other measures are adequate to prevent and, if appropriate, punish forced evictions carried out, without appropriate safeguards, by private persons or bodies. States parties should therefore review relevant legislation and policies to ensure that they are compatible with the obligations arising from the right to adequate housing and repeal or amend any legislation or policies that are inconsistent with the requirements of the Covenant.</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w:t>
      </w:r>
    </w:p>
    <w:p w14:paraId="7E4B3612" w14:textId="463B29FD" w:rsidR="00A04000" w:rsidRDefault="00BC2D96" w:rsidP="006A2C1B">
      <w:pPr>
        <w:pStyle w:val="Heading2"/>
        <w:numPr>
          <w:ilvl w:val="0"/>
          <w:numId w:val="9"/>
        </w:numPr>
      </w:pPr>
      <w:bookmarkStart w:id="40" w:name="_z337ya" w:colFirst="0" w:colLast="0"/>
      <w:bookmarkStart w:id="41" w:name="_Toc22031132"/>
      <w:bookmarkEnd w:id="40"/>
      <w:r>
        <w:t xml:space="preserve">Procedural and </w:t>
      </w:r>
      <w:r w:rsidR="00CB4AB4">
        <w:t>s</w:t>
      </w:r>
      <w:r>
        <w:t xml:space="preserve">ubstantive </w:t>
      </w:r>
      <w:r w:rsidR="00CB4AB4">
        <w:t>o</w:t>
      </w:r>
      <w:r>
        <w:t xml:space="preserve">bligations toward </w:t>
      </w:r>
      <w:r w:rsidR="00CB4AB4">
        <w:t>v</w:t>
      </w:r>
      <w:r>
        <w:t xml:space="preserve">ulnerable </w:t>
      </w:r>
      <w:r w:rsidR="00CB4AB4">
        <w:t>g</w:t>
      </w:r>
      <w:r>
        <w:t>roups</w:t>
      </w:r>
      <w:bookmarkEnd w:id="41"/>
    </w:p>
    <w:p w14:paraId="26664C3F" w14:textId="2BAA406C" w:rsidR="00A04000" w:rsidRDefault="00CB7C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 to </w:t>
      </w:r>
      <w:r w:rsidR="00BC2D96">
        <w:rPr>
          <w:rFonts w:ascii="Times New Roman" w:eastAsia="Times New Roman" w:hAnsi="Times New Roman" w:cs="Times New Roman"/>
          <w:sz w:val="24"/>
          <w:szCs w:val="24"/>
        </w:rPr>
        <w:t xml:space="preserve">the duty to accommodate protected groups </w:t>
      </w:r>
      <w:r w:rsidR="00B944A5">
        <w:rPr>
          <w:rFonts w:ascii="Times New Roman" w:eastAsia="Times New Roman" w:hAnsi="Times New Roman" w:cs="Times New Roman"/>
          <w:sz w:val="24"/>
          <w:szCs w:val="24"/>
        </w:rPr>
        <w:t xml:space="preserve">in the context of disability </w:t>
      </w:r>
      <w:r w:rsidR="00BC2D96">
        <w:rPr>
          <w:rFonts w:ascii="Times New Roman" w:eastAsia="Times New Roman" w:hAnsi="Times New Roman" w:cs="Times New Roman"/>
          <w:sz w:val="24"/>
          <w:szCs w:val="24"/>
        </w:rPr>
        <w:t>under the Code, obligations under international human rights law to protect vulnerable groups in the context of eviction or displacement have both a procedural and a substantive component.</w:t>
      </w:r>
      <w:r w:rsidR="00BC2D96">
        <w:rPr>
          <w:rFonts w:ascii="Times New Roman" w:eastAsia="Times New Roman" w:hAnsi="Times New Roman" w:cs="Times New Roman"/>
          <w:sz w:val="24"/>
          <w:szCs w:val="24"/>
          <w:vertAlign w:val="superscript"/>
        </w:rPr>
        <w:footnoteReference w:id="47"/>
      </w:r>
      <w:r w:rsidR="00BC2D96">
        <w:rPr>
          <w:rFonts w:ascii="Times New Roman" w:eastAsia="Times New Roman" w:hAnsi="Times New Roman" w:cs="Times New Roman"/>
          <w:sz w:val="24"/>
          <w:szCs w:val="24"/>
        </w:rPr>
        <w:t xml:space="preserve"> A failure to </w:t>
      </w:r>
      <w:r w:rsidR="0063292A">
        <w:rPr>
          <w:rFonts w:ascii="Times New Roman" w:eastAsia="Times New Roman" w:hAnsi="Times New Roman" w:cs="Times New Roman"/>
          <w:sz w:val="24"/>
          <w:szCs w:val="24"/>
        </w:rPr>
        <w:t>consider</w:t>
      </w:r>
      <w:r w:rsidR="00BC2D96">
        <w:rPr>
          <w:rFonts w:ascii="Times New Roman" w:eastAsia="Times New Roman" w:hAnsi="Times New Roman" w:cs="Times New Roman"/>
          <w:sz w:val="24"/>
          <w:szCs w:val="24"/>
        </w:rPr>
        <w:t xml:space="preserve"> the issue of </w:t>
      </w:r>
      <w:r w:rsidR="00511F3E">
        <w:rPr>
          <w:rFonts w:ascii="Times New Roman" w:eastAsia="Times New Roman" w:hAnsi="Times New Roman" w:cs="Times New Roman"/>
          <w:sz w:val="24"/>
          <w:szCs w:val="24"/>
        </w:rPr>
        <w:t xml:space="preserve">disability-related </w:t>
      </w:r>
      <w:r w:rsidR="00BC2D96">
        <w:rPr>
          <w:rFonts w:ascii="Times New Roman" w:eastAsia="Times New Roman" w:hAnsi="Times New Roman" w:cs="Times New Roman"/>
          <w:sz w:val="24"/>
          <w:szCs w:val="24"/>
        </w:rPr>
        <w:t>accommodation constitutes a failure to satisfy the ‘procedural’ duty to accommodate under the Code.</w:t>
      </w:r>
      <w:r w:rsidR="00BC2D96">
        <w:rPr>
          <w:rFonts w:ascii="Times New Roman" w:eastAsia="Times New Roman" w:hAnsi="Times New Roman" w:cs="Times New Roman"/>
          <w:sz w:val="24"/>
          <w:szCs w:val="24"/>
          <w:vertAlign w:val="superscript"/>
        </w:rPr>
        <w:footnoteReference w:id="48"/>
      </w:r>
      <w:r w:rsidR="00BC2D96">
        <w:rPr>
          <w:rFonts w:ascii="Times New Roman" w:eastAsia="Times New Roman" w:hAnsi="Times New Roman" w:cs="Times New Roman"/>
          <w:sz w:val="24"/>
          <w:szCs w:val="24"/>
        </w:rPr>
        <w:t xml:space="preserve"> Similarly, a failure to engage with affected groups and assess the impact on them of development-based displacement or eviction constitutes a failure to satisfy the procedural requirements</w:t>
      </w:r>
      <w:r w:rsidR="00BC2D96">
        <w:rPr>
          <w:rFonts w:ascii="Times New Roman" w:eastAsia="Times New Roman" w:hAnsi="Times New Roman" w:cs="Times New Roman"/>
          <w:i/>
          <w:sz w:val="24"/>
          <w:szCs w:val="24"/>
        </w:rPr>
        <w:t xml:space="preserve"> </w:t>
      </w:r>
      <w:r w:rsidR="00BC2D96">
        <w:rPr>
          <w:rFonts w:ascii="Times New Roman" w:eastAsia="Times New Roman" w:hAnsi="Times New Roman" w:cs="Times New Roman"/>
          <w:sz w:val="24"/>
          <w:szCs w:val="24"/>
        </w:rPr>
        <w:t xml:space="preserve">of the ICESCR. The procedural requirements of </w:t>
      </w:r>
      <w:r w:rsidR="00BC2D96">
        <w:rPr>
          <w:rFonts w:ascii="Times New Roman" w:eastAsia="Times New Roman" w:hAnsi="Times New Roman" w:cs="Times New Roman"/>
          <w:sz w:val="24"/>
          <w:szCs w:val="24"/>
        </w:rPr>
        <w:lastRenderedPageBreak/>
        <w:t xml:space="preserve">the Code should be interpreted consistently with comparable requirements under international human rights law.  </w:t>
      </w:r>
    </w:p>
    <w:p w14:paraId="210A467D" w14:textId="77777777" w:rsidR="00A04000" w:rsidRDefault="00BC2D96">
      <w:pPr>
        <w:shd w:val="clear" w:color="auto" w:fill="FFFFFF"/>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recent decision of the CESCR in </w:t>
      </w:r>
      <w:r>
        <w:rPr>
          <w:rFonts w:ascii="Times New Roman" w:eastAsia="Times New Roman" w:hAnsi="Times New Roman" w:cs="Times New Roman"/>
          <w:i/>
          <w:sz w:val="24"/>
          <w:szCs w:val="24"/>
        </w:rPr>
        <w:t>M.B.D. v Spain</w:t>
      </w:r>
      <w:r>
        <w:rPr>
          <w:rFonts w:ascii="Times New Roman" w:eastAsia="Times New Roman" w:hAnsi="Times New Roman" w:cs="Times New Roman"/>
          <w:sz w:val="24"/>
          <w:szCs w:val="24"/>
        </w:rPr>
        <w:t xml:space="preserve"> clarified the procedural obligations of States when evictions are necessary or justified: </w:t>
      </w:r>
    </w:p>
    <w:p w14:paraId="223EDD0A" w14:textId="77777777" w:rsidR="00A04000" w:rsidRDefault="00BC2D96">
      <w:pPr>
        <w:shd w:val="clear" w:color="auto" w:fill="FFFFFF"/>
        <w:spacing w:after="12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When eviction is justified (see paras. 15.1–15.3), the relevant authorities must ensure that it is carried out in accordance with legislation that is compatible with the Covenant, including the principle of human dignity contained in the preamble, in accordance with the general principles of reasonableness and proportionality. Processes relating to forced eviction or those that may affect the security of tenure and potentially result in an eviction should be carried out in keeping with procedural protections which include, inter alia, an opportunity for genuine consultation with those concerned. </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w:t>
      </w:r>
    </w:p>
    <w:p w14:paraId="5CB5D538" w14:textId="46C1B5A9" w:rsidR="00116908" w:rsidRDefault="00116908">
      <w:pPr>
        <w:shd w:val="clear" w:color="auto" w:fill="FFFFFF"/>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OHCHR notes that it is “the way in which such projects are conceived, developed and implemented that is important. Very often, they are carried out with little or no consultation with those affected, limited consideration of their needs and little attempt to develop solutions which minimize the scale of the eviction and the disruption caused.”</w:t>
      </w:r>
      <w:r>
        <w:rPr>
          <w:rFonts w:ascii="Times New Roman" w:eastAsia="Times New Roman" w:hAnsi="Times New Roman" w:cs="Times New Roman"/>
          <w:sz w:val="24"/>
          <w:szCs w:val="24"/>
          <w:vertAlign w:val="superscript"/>
        </w:rPr>
        <w:footnoteReference w:id="50"/>
      </w:r>
    </w:p>
    <w:p w14:paraId="60B281E0" w14:textId="55BE53BB" w:rsidR="00A04000" w:rsidRDefault="00BC2D96">
      <w:pPr>
        <w:shd w:val="clear" w:color="auto" w:fill="FFFFFF"/>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Substantive obligations under the Code to accommodate groups adversely affected must meet a standard of reasonableness, based on the duty to accommodate the needs of the group of which the person is a member where this would not impose undue hardship on the person responsible for accommodating those needs, “considering the cost, outside sources of funding, if any, and health and safety requirements, if any.”</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This standard of reasonableness is a rigorous one, to be distinguished from the </w:t>
      </w:r>
      <w:r w:rsidRPr="00051103">
        <w:rPr>
          <w:rFonts w:ascii="Times New Roman" w:eastAsia="Times New Roman" w:hAnsi="Times New Roman" w:cs="Times New Roman"/>
          <w:i/>
          <w:iCs/>
          <w:sz w:val="24"/>
          <w:szCs w:val="24"/>
        </w:rPr>
        <w:t>de minimus</w:t>
      </w:r>
      <w:r>
        <w:rPr>
          <w:rFonts w:ascii="Times New Roman" w:eastAsia="Times New Roman" w:hAnsi="Times New Roman" w:cs="Times New Roman"/>
          <w:sz w:val="24"/>
          <w:szCs w:val="24"/>
        </w:rPr>
        <w:t xml:space="preserve"> standard applied by the US Supreme Court.</w:t>
      </w:r>
      <w:r>
        <w:rPr>
          <w:rFonts w:ascii="Times New Roman" w:eastAsia="Times New Roman" w:hAnsi="Times New Roman" w:cs="Times New Roman"/>
          <w:sz w:val="24"/>
          <w:szCs w:val="24"/>
          <w:vertAlign w:val="superscript"/>
        </w:rPr>
        <w:footnoteReference w:id="52"/>
      </w:r>
    </w:p>
    <w:p w14:paraId="3B2D65E3" w14:textId="019F0727" w:rsidR="00A04000" w:rsidRDefault="00BC2D96">
      <w:pPr>
        <w:shd w:val="clear" w:color="auto" w:fill="FFFFFF"/>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international human rights law, a similarly rigorous standard of reasonableness applies, requiring the allocation of the “maximum of available resources” and “all appropriate means.”  In the context of evictions and displacement </w:t>
      </w:r>
      <w:r w:rsidR="00350C54">
        <w:rPr>
          <w:rFonts w:ascii="Times New Roman" w:eastAsia="Times New Roman" w:hAnsi="Times New Roman" w:cs="Times New Roman"/>
          <w:sz w:val="24"/>
          <w:szCs w:val="24"/>
        </w:rPr>
        <w:t>that are</w:t>
      </w:r>
      <w:r>
        <w:rPr>
          <w:rFonts w:ascii="Times New Roman" w:eastAsia="Times New Roman" w:hAnsi="Times New Roman" w:cs="Times New Roman"/>
          <w:sz w:val="24"/>
          <w:szCs w:val="24"/>
        </w:rPr>
        <w:t xml:space="preserve"> necessary or justified, the CESCR has described, in its jurisprudence, substantive obligations as follows:</w:t>
      </w:r>
    </w:p>
    <w:p w14:paraId="57AA8470" w14:textId="77777777" w:rsidR="00A04000" w:rsidRDefault="00BC2D96">
      <w:pPr>
        <w:shd w:val="clear" w:color="auto" w:fill="FFFFFF"/>
        <w:spacing w:after="12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15.2 Where those affected do not have the means to acquire alternative housing, States parties must take all appropriate measures to ensure, where possible, that adequate alternative housing, resettlement or access to productive land, as the case may be, is available. States parties should pay particular attention to evictions that involve women, children, older persons, persons with disabilities or other vulnerable individuals or groups who are subjected to systemic discrimination. The State party has a duty to take reasonable measures to provide alternative housing to persons who are left homeless as a result of eviction, irrespective of whether the eviction is initiated by its authorities or by an individual such as the lessor.</w:t>
      </w:r>
    </w:p>
    <w:p w14:paraId="43A7A7C3" w14:textId="77777777" w:rsidR="00A04000" w:rsidRDefault="00BC2D96">
      <w:pPr>
        <w:shd w:val="clear" w:color="auto" w:fill="FFFFFF"/>
        <w:spacing w:after="12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15.3 The obligation to provide alternative housing to evicted persons who need it implies that, under article 2 (1) of the Covenant, States parties must take all necessary steps, to the maximum of their available resources, to uphold this right. States parties can choose a </w:t>
      </w:r>
      <w:r>
        <w:rPr>
          <w:rFonts w:ascii="Times New Roman" w:eastAsia="Times New Roman" w:hAnsi="Times New Roman" w:cs="Times New Roman"/>
          <w:sz w:val="24"/>
          <w:szCs w:val="24"/>
        </w:rPr>
        <w:lastRenderedPageBreak/>
        <w:t>variety of policies to achieve this purpose, including the establishment of housing subsidies for those unable to obtain affordable housing. However, any measures adopted must be deliberate, specific and as straightforward as possible to fulfil this right as swiftly and efficiently as possible. Policies on alternative housing in case of eviction should be commensurate with the need of those concerned and the urgency of the situation and should respect the dignity of the person. Moreover, States parties should take consistent and coordinated measures to resolve institutional shortcomings and structural causes of the lack of housing.</w:t>
      </w:r>
      <w:r>
        <w:rPr>
          <w:rFonts w:ascii="Times New Roman" w:eastAsia="Times New Roman" w:hAnsi="Times New Roman" w:cs="Times New Roman"/>
          <w:sz w:val="24"/>
          <w:szCs w:val="24"/>
          <w:vertAlign w:val="superscript"/>
        </w:rPr>
        <w:footnoteReference w:id="53"/>
      </w:r>
    </w:p>
    <w:p w14:paraId="33878AB9" w14:textId="7DBEA0BD" w:rsidR="00A04000" w:rsidRDefault="00BC2D96" w:rsidP="006A2C1B">
      <w:pPr>
        <w:pStyle w:val="Heading1"/>
        <w:numPr>
          <w:ilvl w:val="0"/>
          <w:numId w:val="6"/>
        </w:numPr>
      </w:pPr>
      <w:bookmarkStart w:id="42" w:name="_3j2qqm3" w:colFirst="0" w:colLast="0"/>
      <w:bookmarkStart w:id="43" w:name="_Toc22031133"/>
      <w:bookmarkEnd w:id="42"/>
      <w:r>
        <w:t xml:space="preserve">Key Components of the Duty to Accommodate Vulnerable Groups </w:t>
      </w:r>
      <w:r w:rsidR="00FE1F7F">
        <w:t>A</w:t>
      </w:r>
      <w:r>
        <w:t xml:space="preserve">ffected by </w:t>
      </w:r>
      <w:r w:rsidR="00FE1F7F">
        <w:t>D</w:t>
      </w:r>
      <w:r>
        <w:t xml:space="preserve">evelopment-based </w:t>
      </w:r>
      <w:r w:rsidR="00FE1F7F">
        <w:t>E</w:t>
      </w:r>
      <w:r>
        <w:t xml:space="preserve">viction or </w:t>
      </w:r>
      <w:r w:rsidR="00FE1F7F">
        <w:t>D</w:t>
      </w:r>
      <w:r>
        <w:t>isplacement</w:t>
      </w:r>
      <w:bookmarkEnd w:id="43"/>
      <w:r>
        <w:t xml:space="preserve"> </w:t>
      </w:r>
    </w:p>
    <w:p w14:paraId="71E1B2DF" w14:textId="348990A0" w:rsidR="00A04000" w:rsidRDefault="001C6070">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w:t>
      </w:r>
      <w:r w:rsidR="00BC2D96">
        <w:rPr>
          <w:rFonts w:ascii="Times New Roman" w:eastAsia="Times New Roman" w:hAnsi="Times New Roman" w:cs="Times New Roman"/>
          <w:sz w:val="24"/>
          <w:szCs w:val="24"/>
        </w:rPr>
        <w:t xml:space="preserve">onsistent with international human rights law, </w:t>
      </w:r>
      <w:r w:rsidR="001645CD">
        <w:rPr>
          <w:rFonts w:ascii="Times New Roman" w:eastAsia="Times New Roman" w:hAnsi="Times New Roman" w:cs="Times New Roman"/>
          <w:sz w:val="24"/>
          <w:szCs w:val="24"/>
        </w:rPr>
        <w:t>including the requirement to adopt</w:t>
      </w:r>
      <w:r w:rsidR="00BC2D96">
        <w:rPr>
          <w:rFonts w:ascii="Times New Roman" w:eastAsia="Times New Roman" w:hAnsi="Times New Roman" w:cs="Times New Roman"/>
          <w:sz w:val="24"/>
          <w:szCs w:val="24"/>
        </w:rPr>
        <w:t xml:space="preserve"> reasonable measures to accommodate vulnerable groups in any upgrading or redevelopment</w:t>
      </w:r>
      <w:r w:rsidR="001645CD">
        <w:rPr>
          <w:rFonts w:ascii="Times New Roman" w:eastAsia="Times New Roman" w:hAnsi="Times New Roman" w:cs="Times New Roman"/>
          <w:sz w:val="24"/>
          <w:szCs w:val="24"/>
        </w:rPr>
        <w:t xml:space="preserve"> in housing</w:t>
      </w:r>
      <w:r w:rsidR="00BC2D96">
        <w:rPr>
          <w:rFonts w:ascii="Times New Roman" w:eastAsia="Times New Roman" w:hAnsi="Times New Roman" w:cs="Times New Roman"/>
          <w:sz w:val="24"/>
          <w:szCs w:val="24"/>
        </w:rPr>
        <w:t xml:space="preserve">, the following key components </w:t>
      </w:r>
      <w:r w:rsidR="00B66062">
        <w:rPr>
          <w:rFonts w:ascii="Times New Roman" w:eastAsia="Times New Roman" w:hAnsi="Times New Roman" w:cs="Times New Roman"/>
          <w:sz w:val="24"/>
          <w:szCs w:val="24"/>
        </w:rPr>
        <w:t>should be adopted as part of a</w:t>
      </w:r>
      <w:r w:rsidR="00BC2D96">
        <w:rPr>
          <w:rFonts w:ascii="Times New Roman" w:eastAsia="Times New Roman" w:hAnsi="Times New Roman" w:cs="Times New Roman"/>
          <w:sz w:val="24"/>
          <w:szCs w:val="24"/>
        </w:rPr>
        <w:t xml:space="preserve"> duty to accommodate under the Code</w:t>
      </w:r>
      <w:r w:rsidR="00CB1A7E">
        <w:rPr>
          <w:rFonts w:ascii="Times New Roman" w:eastAsia="Times New Roman" w:hAnsi="Times New Roman" w:cs="Times New Roman"/>
          <w:sz w:val="24"/>
          <w:szCs w:val="24"/>
        </w:rPr>
        <w:t xml:space="preserve"> in such circumstances</w:t>
      </w:r>
      <w:r w:rsidR="00BC2D96">
        <w:rPr>
          <w:rFonts w:ascii="Times New Roman" w:eastAsia="Times New Roman" w:hAnsi="Times New Roman" w:cs="Times New Roman"/>
          <w:sz w:val="24"/>
          <w:szCs w:val="24"/>
        </w:rPr>
        <w:t xml:space="preserve">. </w:t>
      </w:r>
      <w:r w:rsidR="00CB1A7E">
        <w:rPr>
          <w:rFonts w:ascii="Times New Roman" w:eastAsia="Times New Roman" w:hAnsi="Times New Roman" w:cs="Times New Roman"/>
          <w:sz w:val="24"/>
          <w:szCs w:val="24"/>
        </w:rPr>
        <w:t xml:space="preserve">As with </w:t>
      </w:r>
      <w:r w:rsidR="00BC2D96">
        <w:rPr>
          <w:rFonts w:ascii="Times New Roman" w:eastAsia="Times New Roman" w:hAnsi="Times New Roman" w:cs="Times New Roman"/>
          <w:sz w:val="24"/>
          <w:szCs w:val="24"/>
        </w:rPr>
        <w:t xml:space="preserve">the decision </w:t>
      </w:r>
      <w:r w:rsidR="00C079F2">
        <w:rPr>
          <w:rFonts w:ascii="Times New Roman" w:eastAsia="Times New Roman" w:hAnsi="Times New Roman" w:cs="Times New Roman"/>
          <w:sz w:val="24"/>
          <w:szCs w:val="24"/>
        </w:rPr>
        <w:t xml:space="preserve">in </w:t>
      </w:r>
      <w:r w:rsidR="00C079F2" w:rsidRPr="008E6D9D">
        <w:rPr>
          <w:rFonts w:ascii="Times New Roman" w:eastAsia="Times New Roman" w:hAnsi="Times New Roman" w:cs="Times New Roman"/>
          <w:i/>
          <w:iCs/>
          <w:sz w:val="24"/>
          <w:szCs w:val="24"/>
        </w:rPr>
        <w:t>Kearney</w:t>
      </w:r>
      <w:r w:rsidR="00C079F2">
        <w:rPr>
          <w:rFonts w:ascii="Times New Roman" w:eastAsia="Times New Roman" w:hAnsi="Times New Roman" w:cs="Times New Roman"/>
          <w:sz w:val="24"/>
          <w:szCs w:val="24"/>
        </w:rPr>
        <w:t xml:space="preserve"> </w:t>
      </w:r>
      <w:r w:rsidR="00BC2D96">
        <w:rPr>
          <w:rFonts w:ascii="Times New Roman" w:eastAsia="Times New Roman" w:hAnsi="Times New Roman" w:cs="Times New Roman"/>
          <w:sz w:val="24"/>
          <w:szCs w:val="24"/>
        </w:rPr>
        <w:t>on income</w:t>
      </w:r>
      <w:r w:rsidR="00C079F2">
        <w:rPr>
          <w:rFonts w:ascii="Times New Roman" w:eastAsia="Times New Roman" w:hAnsi="Times New Roman" w:cs="Times New Roman"/>
          <w:sz w:val="24"/>
          <w:szCs w:val="24"/>
        </w:rPr>
        <w:t>-</w:t>
      </w:r>
      <w:r w:rsidR="00BC2D96">
        <w:rPr>
          <w:rFonts w:ascii="Times New Roman" w:eastAsia="Times New Roman" w:hAnsi="Times New Roman" w:cs="Times New Roman"/>
          <w:sz w:val="24"/>
          <w:szCs w:val="24"/>
        </w:rPr>
        <w:t>related discrimination, the</w:t>
      </w:r>
      <w:r w:rsidR="00D67EC5">
        <w:rPr>
          <w:rFonts w:ascii="Times New Roman" w:eastAsia="Times New Roman" w:hAnsi="Times New Roman" w:cs="Times New Roman"/>
          <w:sz w:val="24"/>
          <w:szCs w:val="24"/>
        </w:rPr>
        <w:t>se principles</w:t>
      </w:r>
      <w:r w:rsidR="00BC2D96">
        <w:rPr>
          <w:rFonts w:ascii="Times New Roman" w:eastAsia="Times New Roman" w:hAnsi="Times New Roman" w:cs="Times New Roman"/>
          <w:sz w:val="24"/>
          <w:szCs w:val="24"/>
        </w:rPr>
        <w:t xml:space="preserve"> </w:t>
      </w:r>
      <w:r w:rsidR="00B66062">
        <w:rPr>
          <w:rFonts w:ascii="Times New Roman" w:eastAsia="Times New Roman" w:hAnsi="Times New Roman" w:cs="Times New Roman"/>
          <w:sz w:val="24"/>
          <w:szCs w:val="24"/>
        </w:rPr>
        <w:t xml:space="preserve">must </w:t>
      </w:r>
      <w:r w:rsidR="00BC2D96">
        <w:rPr>
          <w:rFonts w:ascii="Times New Roman" w:eastAsia="Times New Roman" w:hAnsi="Times New Roman" w:cs="Times New Roman"/>
          <w:sz w:val="24"/>
          <w:szCs w:val="24"/>
        </w:rPr>
        <w:t xml:space="preserve">apply universally, </w:t>
      </w:r>
      <w:r w:rsidR="003F47B0">
        <w:rPr>
          <w:rFonts w:ascii="Times New Roman" w:eastAsia="Times New Roman" w:hAnsi="Times New Roman" w:cs="Times New Roman"/>
          <w:sz w:val="24"/>
          <w:szCs w:val="24"/>
        </w:rPr>
        <w:t>and must be understood to be</w:t>
      </w:r>
      <w:r w:rsidR="00BC2D96">
        <w:rPr>
          <w:rFonts w:ascii="Times New Roman" w:eastAsia="Times New Roman" w:hAnsi="Times New Roman" w:cs="Times New Roman"/>
          <w:sz w:val="24"/>
          <w:szCs w:val="24"/>
        </w:rPr>
        <w:t xml:space="preserve"> requirements of any Code-compliant upgrading or development.   </w:t>
      </w:r>
    </w:p>
    <w:p w14:paraId="7A9802C7" w14:textId="1DF7AF1D" w:rsidR="00A04000" w:rsidRDefault="00BB35C3" w:rsidP="006A2C1B">
      <w:pPr>
        <w:pStyle w:val="Heading2"/>
        <w:numPr>
          <w:ilvl w:val="0"/>
          <w:numId w:val="10"/>
        </w:numPr>
      </w:pPr>
      <w:bookmarkStart w:id="44" w:name="_1y810tw" w:colFirst="0" w:colLast="0"/>
      <w:bookmarkStart w:id="45" w:name="_Toc22031134"/>
      <w:bookmarkEnd w:id="44"/>
      <w:r>
        <w:t>I</w:t>
      </w:r>
      <w:r w:rsidR="00BC2D96">
        <w:t>n situ upgrading</w:t>
      </w:r>
      <w:bookmarkEnd w:id="45"/>
    </w:p>
    <w:p w14:paraId="34AF908B" w14:textId="350386E0"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Central to the right to </w:t>
      </w:r>
      <w:r w:rsidR="00151533">
        <w:rPr>
          <w:rFonts w:ascii="Times New Roman" w:eastAsia="Times New Roman" w:hAnsi="Times New Roman" w:cs="Times New Roman"/>
          <w:sz w:val="24"/>
          <w:szCs w:val="24"/>
        </w:rPr>
        <w:t xml:space="preserve">adequate </w:t>
      </w:r>
      <w:r>
        <w:rPr>
          <w:rFonts w:ascii="Times New Roman" w:eastAsia="Times New Roman" w:hAnsi="Times New Roman" w:cs="Times New Roman"/>
          <w:sz w:val="24"/>
          <w:szCs w:val="24"/>
        </w:rPr>
        <w:t>housing under international human rights law in the context of upgrading is the right to remain in one’s home and community where possible and desired by residents. As the United Nations Special Rapporteur on adequate housing (</w:t>
      </w:r>
      <w:r w:rsidR="00FD30A6">
        <w:rPr>
          <w:rFonts w:ascii="Times New Roman" w:eastAsia="Times New Roman" w:hAnsi="Times New Roman" w:cs="Times New Roman"/>
          <w:sz w:val="24"/>
          <w:szCs w:val="24"/>
        </w:rPr>
        <w:t>“</w:t>
      </w:r>
      <w:r>
        <w:rPr>
          <w:rFonts w:ascii="Times New Roman" w:eastAsia="Times New Roman" w:hAnsi="Times New Roman" w:cs="Times New Roman"/>
          <w:sz w:val="24"/>
          <w:szCs w:val="24"/>
        </w:rPr>
        <w:t>Special Rapporteur</w:t>
      </w:r>
      <w:r w:rsidR="00FD30A6">
        <w:rPr>
          <w:rFonts w:ascii="Times New Roman" w:eastAsia="Times New Roman" w:hAnsi="Times New Roman" w:cs="Times New Roman"/>
          <w:sz w:val="24"/>
          <w:szCs w:val="24"/>
        </w:rPr>
        <w:t>”</w:t>
      </w:r>
      <w:r>
        <w:rPr>
          <w:rFonts w:ascii="Times New Roman" w:eastAsia="Times New Roman" w:hAnsi="Times New Roman" w:cs="Times New Roman"/>
          <w:sz w:val="24"/>
          <w:szCs w:val="24"/>
        </w:rPr>
        <w:t>) has noted, “[i]n situ upgrading allows residents to retain their connections to their locality, protects social cohesion and can help to avoid disrupting livelihoods.”</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Relocation, on the other hand, has many possible negative consequences, often resulting in a poorer quality of life, with particularly negative repercussions for people with disabilities, the elderly, and children and young people.</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vertAlign w:val="superscript"/>
        </w:rPr>
        <w:t xml:space="preserve"> </w:t>
      </w:r>
    </w:p>
    <w:p w14:paraId="4E48EEE6" w14:textId="2E624D63"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right to remain in situ conforms with the legal security of tenure recognized as a key component of the right to</w:t>
      </w:r>
      <w:r w:rsidR="001F1CE7">
        <w:rPr>
          <w:rFonts w:ascii="Times New Roman" w:eastAsia="Times New Roman" w:hAnsi="Times New Roman" w:cs="Times New Roman"/>
          <w:sz w:val="24"/>
          <w:szCs w:val="24"/>
        </w:rPr>
        <w:t xml:space="preserve"> adequate</w:t>
      </w:r>
      <w:r>
        <w:rPr>
          <w:rFonts w:ascii="Times New Roman" w:eastAsia="Times New Roman" w:hAnsi="Times New Roman" w:cs="Times New Roman"/>
          <w:sz w:val="24"/>
          <w:szCs w:val="24"/>
        </w:rPr>
        <w:t xml:space="preserve"> housing, and “which guarantees legal protection against forced eviction”.</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Other States have recognized the right to remain in situ and have incorporated it into their domestic human rights legal framework.</w:t>
      </w:r>
      <w:r>
        <w:rPr>
          <w:vertAlign w:val="superscript"/>
        </w:rPr>
        <w:footnoteReference w:id="57"/>
      </w:r>
      <w:r>
        <w:rPr>
          <w:rFonts w:ascii="Times New Roman" w:eastAsia="Times New Roman" w:hAnsi="Times New Roman" w:cs="Times New Roman"/>
          <w:sz w:val="24"/>
          <w:szCs w:val="24"/>
        </w:rPr>
        <w:t xml:space="preserve"> In situ upgrading in lieu of relocation should be available wherever possible and desired by existing residents.</w:t>
      </w:r>
    </w:p>
    <w:p w14:paraId="5F01D58E" w14:textId="77777777"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Evictions are only permitted if they are “unavoidable and consistent with international human rights commitments protective of the general welfare.”</w:t>
      </w:r>
      <w:r>
        <w:rPr>
          <w:vertAlign w:val="superscript"/>
        </w:rPr>
        <w:footnoteReference w:id="58"/>
      </w:r>
      <w:r>
        <w:rPr>
          <w:vertAlign w:val="superscript"/>
        </w:rPr>
        <w:t xml:space="preserve"> </w:t>
      </w:r>
      <w:r>
        <w:rPr>
          <w:rFonts w:ascii="Times New Roman" w:eastAsia="Times New Roman" w:hAnsi="Times New Roman" w:cs="Times New Roman"/>
          <w:sz w:val="24"/>
          <w:szCs w:val="24"/>
        </w:rPr>
        <w:t>Prior to any eviction, all feasible alternatives must be explored in consultation with those affected.</w:t>
      </w:r>
      <w:r>
        <w:rPr>
          <w:vertAlign w:val="superscript"/>
        </w:rPr>
        <w:footnoteReference w:id="59"/>
      </w:r>
      <w:r>
        <w:rPr>
          <w:rFonts w:ascii="Times New Roman" w:eastAsia="Times New Roman" w:hAnsi="Times New Roman" w:cs="Times New Roman"/>
          <w:sz w:val="24"/>
          <w:szCs w:val="24"/>
        </w:rPr>
        <w:t xml:space="preserve">  Evictions should not result in homelessness or render the community “vulnerable to the violation of other human rights.”</w:t>
      </w:r>
      <w:r>
        <w:rPr>
          <w:vertAlign w:val="superscript"/>
        </w:rPr>
        <w:footnoteReference w:id="60"/>
      </w:r>
      <w:r>
        <w:rPr>
          <w:rFonts w:ascii="Times New Roman" w:eastAsia="Times New Roman" w:hAnsi="Times New Roman" w:cs="Times New Roman"/>
          <w:sz w:val="24"/>
          <w:szCs w:val="24"/>
        </w:rPr>
        <w:t xml:space="preserve">  </w:t>
      </w:r>
    </w:p>
    <w:p w14:paraId="65C6D982" w14:textId="7EC914B3" w:rsidR="00A04000" w:rsidRDefault="00E10DD5" w:rsidP="006A2C1B">
      <w:pPr>
        <w:pStyle w:val="Heading2"/>
        <w:numPr>
          <w:ilvl w:val="0"/>
          <w:numId w:val="10"/>
        </w:numPr>
        <w:rPr>
          <w:b w:val="0"/>
          <w:color w:val="000000"/>
        </w:rPr>
      </w:pPr>
      <w:bookmarkStart w:id="46" w:name="_Toc22031135"/>
      <w:r>
        <w:rPr>
          <w:color w:val="000000"/>
        </w:rPr>
        <w:t>Meaningful p</w:t>
      </w:r>
      <w:r w:rsidR="00BC2D96">
        <w:rPr>
          <w:color w:val="000000"/>
        </w:rPr>
        <w:t>articipation, engagement and inclusion in decision-making</w:t>
      </w:r>
      <w:bookmarkEnd w:id="46"/>
    </w:p>
    <w:p w14:paraId="18933EE6" w14:textId="151D645C"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landlords, developers or local governments are contemplating upgrading or replacing existing housing developments, the process must be community-led, inclusive, and enabling, providing for rights-based participation and accountability.</w:t>
      </w:r>
      <w:r>
        <w:rPr>
          <w:vertAlign w:val="superscript"/>
        </w:rPr>
        <w:footnoteReference w:id="61"/>
      </w:r>
      <w:r>
        <w:rPr>
          <w:vertAlign w:val="superscript"/>
        </w:rPr>
        <w:t xml:space="preserve"> </w:t>
      </w:r>
      <w:r>
        <w:rPr>
          <w:rFonts w:ascii="Times New Roman" w:eastAsia="Times New Roman" w:hAnsi="Times New Roman" w:cs="Times New Roman"/>
          <w:sz w:val="24"/>
          <w:szCs w:val="24"/>
        </w:rPr>
        <w:t xml:space="preserve"> </w:t>
      </w:r>
      <w:r w:rsidR="00D274AC">
        <w:rPr>
          <w:rFonts w:ascii="Times New Roman" w:eastAsia="Times New Roman" w:hAnsi="Times New Roman" w:cs="Times New Roman"/>
          <w:sz w:val="24"/>
          <w:szCs w:val="24"/>
        </w:rPr>
        <w:t xml:space="preserve">The CESCR has held that </w:t>
      </w:r>
      <w:r>
        <w:rPr>
          <w:rFonts w:ascii="Times New Roman" w:eastAsia="Times New Roman" w:hAnsi="Times New Roman" w:cs="Times New Roman"/>
          <w:sz w:val="24"/>
          <w:szCs w:val="24"/>
        </w:rPr>
        <w:t>“</w:t>
      </w:r>
      <w:r w:rsidR="00883703" w:rsidRPr="000108C1">
        <w:rPr>
          <w:rFonts w:ascii="Times New Roman" w:hAnsi="Times New Roman" w:cs="Times New Roman"/>
          <w:sz w:val="24"/>
          <w:szCs w:val="24"/>
        </w:rPr>
        <w:t>there must be</w:t>
      </w:r>
      <w:r w:rsidR="00883703">
        <w:t xml:space="preserve"> </w:t>
      </w:r>
      <w:r>
        <w:rPr>
          <w:rFonts w:ascii="Times New Roman" w:eastAsia="Times New Roman" w:hAnsi="Times New Roman" w:cs="Times New Roman"/>
          <w:sz w:val="24"/>
          <w:szCs w:val="24"/>
        </w:rPr>
        <w:t>a real opportunity for genuine prior consultation between the authorities and the persons concerned, there must be no less onerous alternative means or measures available and the persons concerned must not remain in or be exposed to a situation constituting a violation of other Covenant or human rights.”</w:t>
      </w:r>
      <w:r w:rsidR="00CC42C6">
        <w:rPr>
          <w:rStyle w:val="FootnoteReference"/>
          <w:rFonts w:ascii="Times New Roman" w:eastAsia="Times New Roman" w:hAnsi="Times New Roman" w:cs="Times New Roman"/>
          <w:sz w:val="24"/>
          <w:szCs w:val="24"/>
        </w:rPr>
        <w:footnoteReference w:id="62"/>
      </w:r>
      <w:r>
        <w:rPr>
          <w:rFonts w:ascii="Times New Roman" w:eastAsia="Times New Roman" w:hAnsi="Times New Roman" w:cs="Times New Roman"/>
          <w:sz w:val="24"/>
          <w:szCs w:val="24"/>
        </w:rPr>
        <w:t xml:space="preserve"> </w:t>
      </w:r>
      <w:r w:rsidR="005861CD">
        <w:rPr>
          <w:rFonts w:ascii="Times New Roman" w:eastAsia="Times New Roman" w:hAnsi="Times New Roman" w:cs="Times New Roman"/>
          <w:sz w:val="24"/>
          <w:szCs w:val="24"/>
        </w:rPr>
        <w:t>Any r</w:t>
      </w:r>
      <w:r>
        <w:rPr>
          <w:rFonts w:ascii="Times New Roman" w:eastAsia="Times New Roman" w:hAnsi="Times New Roman" w:cs="Times New Roman"/>
          <w:sz w:val="24"/>
          <w:szCs w:val="24"/>
        </w:rPr>
        <w:t xml:space="preserve">eliance on judicial eviction procedures to force people to move is usually symptomatic of a failure to follow procedures that respect the dignity and human rights of vulnerable groups. </w:t>
      </w:r>
      <w:r w:rsidR="00BF4245">
        <w:rPr>
          <w:rFonts w:ascii="Times New Roman" w:eastAsia="Times New Roman" w:hAnsi="Times New Roman" w:cs="Times New Roman"/>
          <w:sz w:val="24"/>
          <w:szCs w:val="24"/>
        </w:rPr>
        <w:t>Indeed, e</w:t>
      </w:r>
      <w:r>
        <w:rPr>
          <w:rFonts w:ascii="Times New Roman" w:eastAsia="Times New Roman" w:hAnsi="Times New Roman" w:cs="Times New Roman"/>
          <w:sz w:val="24"/>
          <w:szCs w:val="24"/>
        </w:rPr>
        <w:t>viction by courts is “almost always indicative of flawed processes and lack of meaningful engagement”.</w:t>
      </w:r>
      <w:r>
        <w:rPr>
          <w:vertAlign w:val="superscript"/>
        </w:rPr>
        <w:footnoteReference w:id="63"/>
      </w:r>
      <w:r>
        <w:rPr>
          <w:rFonts w:ascii="Times New Roman" w:eastAsia="Times New Roman" w:hAnsi="Times New Roman" w:cs="Times New Roman"/>
          <w:sz w:val="24"/>
          <w:szCs w:val="24"/>
        </w:rPr>
        <w:t xml:space="preserve"> </w:t>
      </w:r>
    </w:p>
    <w:p w14:paraId="63E0BBE5" w14:textId="239FDCE3"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Basic Principles and Guidelines on Development-Based Evictions and Displacement</w:t>
      </w:r>
      <w:r>
        <w:rPr>
          <w:rFonts w:ascii="Times New Roman" w:eastAsia="Times New Roman" w:hAnsi="Times New Roman" w:cs="Times New Roman"/>
          <w:sz w:val="24"/>
          <w:szCs w:val="24"/>
        </w:rPr>
        <w:t xml:space="preserve"> (</w:t>
      </w:r>
      <w:r w:rsidR="00FD30A6">
        <w:rPr>
          <w:rFonts w:ascii="Times New Roman" w:eastAsia="Times New Roman" w:hAnsi="Times New Roman" w:cs="Times New Roman"/>
          <w:sz w:val="24"/>
          <w:szCs w:val="24"/>
        </w:rPr>
        <w:t>“</w:t>
      </w:r>
      <w:r>
        <w:rPr>
          <w:rFonts w:ascii="Times New Roman" w:eastAsia="Times New Roman" w:hAnsi="Times New Roman" w:cs="Times New Roman"/>
          <w:i/>
          <w:sz w:val="24"/>
          <w:szCs w:val="24"/>
        </w:rPr>
        <w:t>Basic Principles and Guidelines</w:t>
      </w:r>
      <w:r w:rsidR="00FD30A6">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xml:space="preserve">) developed after extensive consultation with experts, States and stakeholders, describe the relevant legal standards to be applied. The Guidelines explain that before residents may be required to move, the State must ensure, </w:t>
      </w:r>
      <w:r>
        <w:rPr>
          <w:rFonts w:ascii="Times New Roman" w:eastAsia="Times New Roman" w:hAnsi="Times New Roman" w:cs="Times New Roman"/>
          <w:i/>
          <w:sz w:val="24"/>
          <w:szCs w:val="24"/>
        </w:rPr>
        <w:t>inter alia</w:t>
      </w:r>
      <w:r w:rsidR="00380D9F">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xml:space="preserve"> that they: receive “relevant information in advance, including … proposed comprehensive resettlement plans specifically addressing efforts to protect vulnerable groups”; are provided “a reasonable time period” to review, comment,  and object to the proposed plan; are provided “legal, technical and other advice … about their rights and options”; and have access to public hearings that provide “affected persons and their advocates with the opportunities to challenge the eviction decision and/or to present alternative proposals and to articulate their demands and development priorities.”</w:t>
      </w:r>
      <w:r>
        <w:rPr>
          <w:vertAlign w:val="superscript"/>
        </w:rPr>
        <w:footnoteReference w:id="64"/>
      </w:r>
      <w:r>
        <w:rPr>
          <w:rFonts w:ascii="Times New Roman" w:eastAsia="Times New Roman" w:hAnsi="Times New Roman" w:cs="Times New Roman"/>
          <w:sz w:val="24"/>
          <w:szCs w:val="24"/>
        </w:rPr>
        <w:t xml:space="preserve"> All possible alternatives to evictions must be explored.</w:t>
      </w:r>
      <w:r>
        <w:rPr>
          <w:vertAlign w:val="superscript"/>
        </w:rPr>
        <w:footnoteReference w:id="65"/>
      </w:r>
      <w:r>
        <w:rPr>
          <w:rFonts w:ascii="Times New Roman" w:eastAsia="Times New Roman" w:hAnsi="Times New Roman" w:cs="Times New Roman"/>
          <w:sz w:val="24"/>
          <w:szCs w:val="24"/>
        </w:rPr>
        <w:t xml:space="preserve"> </w:t>
      </w:r>
    </w:p>
    <w:p w14:paraId="1AFB188E" w14:textId="2F5010AA" w:rsidR="00D14BD3"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Affected groups should have the right of consultation and participation through the entire process, </w:t>
      </w:r>
      <w:r w:rsidR="00850E6A">
        <w:rPr>
          <w:rFonts w:ascii="Times New Roman" w:eastAsia="Times New Roman" w:hAnsi="Times New Roman" w:cs="Times New Roman"/>
          <w:sz w:val="24"/>
          <w:szCs w:val="24"/>
        </w:rPr>
        <w:t xml:space="preserve">including </w:t>
      </w:r>
      <w:r>
        <w:rPr>
          <w:rFonts w:ascii="Times New Roman" w:eastAsia="Times New Roman" w:hAnsi="Times New Roman" w:cs="Times New Roman"/>
          <w:sz w:val="24"/>
          <w:szCs w:val="24"/>
        </w:rPr>
        <w:t xml:space="preserve">with legal representation, and to propose alternatives that the State must consider. </w:t>
      </w:r>
      <w:r>
        <w:rPr>
          <w:rFonts w:ascii="Times New Roman" w:eastAsia="Times New Roman" w:hAnsi="Times New Roman" w:cs="Times New Roman"/>
          <w:sz w:val="24"/>
          <w:szCs w:val="24"/>
        </w:rPr>
        <w:lastRenderedPageBreak/>
        <w:t>Meaningful engagement with women, Indigenous Peoples, persons with disabilities and other groups must be ensured.</w:t>
      </w:r>
      <w:r>
        <w:rPr>
          <w:vertAlign w:val="superscript"/>
        </w:rPr>
        <w:footnoteReference w:id="66"/>
      </w:r>
      <w:r>
        <w:rPr>
          <w:rFonts w:ascii="Times New Roman" w:eastAsia="Times New Roman" w:hAnsi="Times New Roman" w:cs="Times New Roman"/>
          <w:sz w:val="24"/>
          <w:szCs w:val="24"/>
        </w:rPr>
        <w:t xml:space="preserve"> </w:t>
      </w:r>
    </w:p>
    <w:p w14:paraId="3F951ED4" w14:textId="1476392E"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Governments should announce decisions related to eviction to all individuals affected well in advance of any action. The notice of eviction should contain the justification for the decisions including a concrete assessment </w:t>
      </w:r>
      <w:r w:rsidR="001B2B99">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full details of all proposed alternatives and all the measures “taken and foreseen to minimize the adverse effects of evictions.”</w:t>
      </w:r>
      <w:r>
        <w:rPr>
          <w:vertAlign w:val="superscript"/>
        </w:rPr>
        <w:footnoteReference w:id="67"/>
      </w:r>
      <w:r>
        <w:rPr>
          <w:rFonts w:ascii="Times New Roman" w:eastAsia="Times New Roman" w:hAnsi="Times New Roman" w:cs="Times New Roman"/>
          <w:sz w:val="24"/>
          <w:szCs w:val="24"/>
        </w:rPr>
        <w:t xml:space="preserve"> In short, there must be recognition of a “right to participation and inclusion” such that residents are involved in "relocation planning and implementation” and allowed to make meaningful decisions in an informed, democratic manner that responds to the demographic realities of the community and the unique needs of marginalized groups.</w:t>
      </w:r>
      <w:r>
        <w:rPr>
          <w:vertAlign w:val="superscript"/>
        </w:rPr>
        <w:footnoteReference w:id="68"/>
      </w:r>
    </w:p>
    <w:p w14:paraId="7BB05E27" w14:textId="46E9C489" w:rsidR="00A04000" w:rsidRDefault="00BC2D96" w:rsidP="006A2C1B">
      <w:pPr>
        <w:pStyle w:val="Heading2"/>
        <w:numPr>
          <w:ilvl w:val="0"/>
          <w:numId w:val="10"/>
        </w:numPr>
      </w:pPr>
      <w:bookmarkStart w:id="47" w:name="_4i7ojhp" w:colFirst="0" w:colLast="0"/>
      <w:bookmarkStart w:id="48" w:name="_Toc22031136"/>
      <w:bookmarkEnd w:id="47"/>
      <w:r>
        <w:t xml:space="preserve">Culturally appropriate, community </w:t>
      </w:r>
      <w:r w:rsidR="009A5E9F">
        <w:t xml:space="preserve">preservation </w:t>
      </w:r>
      <w:r>
        <w:t>and informal supports</w:t>
      </w:r>
      <w:bookmarkEnd w:id="48"/>
    </w:p>
    <w:p w14:paraId="38190ABC" w14:textId="11258DF8"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right to adequate housing is understood in international law to encompass far more than physical shelter. It includes the right to live and thrive in </w:t>
      </w:r>
      <w:r w:rsidR="003A73E1">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community, in security and dignity. It includes a right to culturally appropriate housing and all necessary services and supports, both formal and informal.</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Stigma and negative stereotype</w:t>
      </w:r>
      <w:r w:rsidR="003A73E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associated with living in substandard housing communities or informal settlements often mean that governments and developers fail to recognize that in spite of inadequate physical housing and services, marginalized groups may create vibrant and supportive communities that need to be preserved and supported.</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Even in the midst of the most unacceptable living conditions, the communities in which marginalized groups are forced to live must be recognized as “a profound expression of individuals, families and communities claiming their place and their right to housing … creating homes, culture and community life in the most adverse circumstances.”</w:t>
      </w:r>
      <w:r>
        <w:rPr>
          <w:rFonts w:ascii="Times New Roman" w:eastAsia="Times New Roman" w:hAnsi="Times New Roman" w:cs="Times New Roman"/>
          <w:sz w:val="24"/>
          <w:szCs w:val="24"/>
          <w:vertAlign w:val="superscript"/>
        </w:rPr>
        <w:footnoteReference w:id="71"/>
      </w:r>
    </w:p>
    <w:p w14:paraId="33BD9ED9" w14:textId="3ADF9D22"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Access to livelihood and the informal economy that supports individuals, families and communities in many low-income neighbourhoods should be included in upgrading plans. Support for cultural or religious practices must also be ensured.</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Eviction or displacement which breaks apart networks of support or destroys functional communities constitutes a forced eviction and is prohibited under international human rights law.</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Upgrading or relocation of communities must “appropriately  enable  the expression  of  cultural  identity  and  diversity”</w:t>
      </w:r>
      <w:r w:rsidR="006F23AC">
        <w:rPr>
          <w:rFonts w:ascii="Times New Roman" w:eastAsia="Times New Roman" w:hAnsi="Times New Roman" w:cs="Times New Roman"/>
          <w:sz w:val="24"/>
          <w:szCs w:val="24"/>
        </w:rPr>
        <w:t>:</w:t>
      </w:r>
      <w:r>
        <w:rPr>
          <w:vertAlign w:val="superscript"/>
        </w:rPr>
        <w:footnoteReference w:id="74"/>
      </w:r>
    </w:p>
    <w:p w14:paraId="0C83A86D" w14:textId="2F9BF44C" w:rsidR="00A04000" w:rsidRDefault="00BC2D96">
      <w:pPr>
        <w:ind w:left="720"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[U]pgrading schemes must fulfil all aspects of the right to adequate housing under international human rights law. This includes living without discrimination, in security, peace and dignity, in housing with secure tenure, that is affordable, habitable, culturally adequate, in a decent location, accessible, and where services </w:t>
      </w:r>
      <w:r>
        <w:rPr>
          <w:rFonts w:ascii="Times New Roman" w:eastAsia="Times New Roman" w:hAnsi="Times New Roman" w:cs="Times New Roman"/>
          <w:sz w:val="24"/>
          <w:szCs w:val="24"/>
        </w:rPr>
        <w:lastRenderedPageBreak/>
        <w:t>are available.</w:t>
      </w:r>
      <w:r w:rsidR="001D3F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These requirements should be defined by communities and households themselves to address different contexts.</w:t>
      </w:r>
      <w:r>
        <w:rPr>
          <w:rFonts w:ascii="Times New Roman" w:eastAsia="Times New Roman" w:hAnsi="Times New Roman" w:cs="Times New Roman"/>
          <w:sz w:val="24"/>
          <w:szCs w:val="24"/>
          <w:vertAlign w:val="superscript"/>
        </w:rPr>
        <w:footnoteReference w:id="75"/>
      </w:r>
    </w:p>
    <w:p w14:paraId="31E11CEA" w14:textId="77777777"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Upgrading programs must also address the unique needs and different experiences of Code-protected groups, such as women, persons with disabilities, migrants, non-citizens, the elderly, children and other marginalized groups.</w:t>
      </w:r>
      <w:r>
        <w:rPr>
          <w:rFonts w:ascii="Times New Roman" w:eastAsia="Times New Roman" w:hAnsi="Times New Roman" w:cs="Times New Roman"/>
          <w:sz w:val="24"/>
          <w:szCs w:val="24"/>
          <w:vertAlign w:val="superscript"/>
        </w:rPr>
        <w:footnoteReference w:id="76"/>
      </w:r>
    </w:p>
    <w:p w14:paraId="241F0325" w14:textId="4A4F5DF8" w:rsidR="00A04000" w:rsidRDefault="00BC2D96" w:rsidP="006A2C1B">
      <w:pPr>
        <w:pStyle w:val="Heading2"/>
        <w:numPr>
          <w:ilvl w:val="0"/>
          <w:numId w:val="10"/>
        </w:numPr>
      </w:pPr>
      <w:bookmarkStart w:id="49" w:name="_2xcytpi" w:colFirst="0" w:colLast="0"/>
      <w:bookmarkStart w:id="50" w:name="_Toc22031137"/>
      <w:bookmarkEnd w:id="49"/>
      <w:r>
        <w:t xml:space="preserve">Relocation </w:t>
      </w:r>
      <w:r w:rsidR="000108C1">
        <w:t>o</w:t>
      </w:r>
      <w:r>
        <w:t xml:space="preserve">nly </w:t>
      </w:r>
      <w:r w:rsidR="000108C1">
        <w:t>w</w:t>
      </w:r>
      <w:r>
        <w:t xml:space="preserve">here </w:t>
      </w:r>
      <w:r w:rsidR="000108C1">
        <w:t>n</w:t>
      </w:r>
      <w:r>
        <w:t>ecessary</w:t>
      </w:r>
      <w:r w:rsidR="000108C1">
        <w:t xml:space="preserve"> or chosen by residents, to adequate alternative accommoda</w:t>
      </w:r>
      <w:r w:rsidR="00972DDE">
        <w:t>t</w:t>
      </w:r>
      <w:r w:rsidR="000108C1">
        <w:t>ion</w:t>
      </w:r>
      <w:r>
        <w:t xml:space="preserve"> and a </w:t>
      </w:r>
      <w:r w:rsidR="000108C1">
        <w:t>r</w:t>
      </w:r>
      <w:r>
        <w:t xml:space="preserve">ight to </w:t>
      </w:r>
      <w:r w:rsidR="000108C1">
        <w:t>r</w:t>
      </w:r>
      <w:r>
        <w:t>eturn</w:t>
      </w:r>
      <w:bookmarkEnd w:id="50"/>
    </w:p>
    <w:p w14:paraId="54C85684" w14:textId="41C93CAB"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relocation of existing residents is necessary for upgrading or development, or where relocation is chosen by communities for other reasons, compliance with the right to </w:t>
      </w:r>
      <w:r w:rsidR="003163A1">
        <w:rPr>
          <w:rFonts w:ascii="Times New Roman" w:eastAsia="Times New Roman" w:hAnsi="Times New Roman" w:cs="Times New Roman"/>
          <w:sz w:val="24"/>
          <w:szCs w:val="24"/>
        </w:rPr>
        <w:t xml:space="preserve">adequate </w:t>
      </w:r>
      <w:r>
        <w:rPr>
          <w:rFonts w:ascii="Times New Roman" w:eastAsia="Times New Roman" w:hAnsi="Times New Roman" w:cs="Times New Roman"/>
          <w:sz w:val="24"/>
          <w:szCs w:val="24"/>
        </w:rPr>
        <w:t>housing and all other human rights standards must be ensured. A resettlement plan must be put in place for the people affected that is compatible with internationally recognized human rights principles.</w:t>
      </w:r>
      <w:r>
        <w:rPr>
          <w:vertAlign w:val="superscript"/>
        </w:rPr>
        <w:footnoteReference w:id="77"/>
      </w:r>
    </w:p>
    <w:p w14:paraId="24ABE903" w14:textId="56B917C7"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temporary relocation is required for upgrading, this must be time-limited and meet adequacy and all human rights standards, with a right to return to appropriate and affordable housing in the community after upgrading is completed. The </w:t>
      </w:r>
      <w:r>
        <w:rPr>
          <w:rFonts w:ascii="Times New Roman" w:eastAsia="Times New Roman" w:hAnsi="Times New Roman" w:cs="Times New Roman"/>
          <w:i/>
          <w:sz w:val="24"/>
          <w:szCs w:val="24"/>
        </w:rPr>
        <w:t>Basic Principles and Guidelines</w:t>
      </w:r>
      <w:r>
        <w:rPr>
          <w:rFonts w:ascii="Times New Roman" w:eastAsia="Times New Roman" w:hAnsi="Times New Roman" w:cs="Times New Roman"/>
          <w:sz w:val="24"/>
          <w:szCs w:val="24"/>
        </w:rPr>
        <w:t xml:space="preserve"> apply to any relocation, </w:t>
      </w:r>
      <w:r w:rsidR="006C2359">
        <w:rPr>
          <w:rFonts w:ascii="Times New Roman" w:eastAsia="Times New Roman" w:hAnsi="Times New Roman" w:cs="Times New Roman"/>
          <w:sz w:val="24"/>
          <w:szCs w:val="24"/>
        </w:rPr>
        <w:t xml:space="preserve">and as such require </w:t>
      </w:r>
      <w:r>
        <w:rPr>
          <w:rFonts w:ascii="Times New Roman" w:eastAsia="Times New Roman" w:hAnsi="Times New Roman" w:cs="Times New Roman"/>
          <w:sz w:val="24"/>
          <w:szCs w:val="24"/>
        </w:rPr>
        <w:t>meaningful consultation with residents first, relocation in close proximity, access to necessary amenities and livelihoods, and compensation for any associated costs, both real and personal.</w:t>
      </w:r>
      <w:r>
        <w:rPr>
          <w:vertAlign w:val="superscript"/>
        </w:rPr>
        <w:footnoteReference w:id="78"/>
      </w:r>
      <w:r>
        <w:rPr>
          <w:rFonts w:ascii="Times New Roman" w:eastAsia="Times New Roman" w:hAnsi="Times New Roman" w:cs="Times New Roman"/>
          <w:sz w:val="24"/>
          <w:szCs w:val="24"/>
        </w:rPr>
        <w:t xml:space="preserve"> </w:t>
      </w:r>
    </w:p>
    <w:p w14:paraId="7216D082" w14:textId="61D4D4B9" w:rsidR="00A04000" w:rsidRDefault="00FD30A6">
      <w:pPr>
        <w:jc w:val="both"/>
      </w:pPr>
      <w:r>
        <w:rPr>
          <w:rFonts w:ascii="Times New Roman" w:eastAsia="Times New Roman" w:hAnsi="Times New Roman" w:cs="Times New Roman"/>
          <w:sz w:val="24"/>
          <w:szCs w:val="24"/>
        </w:rPr>
        <w:t xml:space="preserve">As the Special Rapporteur has noted, </w:t>
      </w:r>
      <w:r w:rsidR="00BC2D96">
        <w:rPr>
          <w:rFonts w:ascii="Times New Roman" w:eastAsia="Times New Roman" w:hAnsi="Times New Roman" w:cs="Times New Roman"/>
          <w:sz w:val="24"/>
          <w:szCs w:val="24"/>
        </w:rPr>
        <w:t>“</w:t>
      </w:r>
      <w:r w:rsidR="00EC7F2C">
        <w:rPr>
          <w:rFonts w:ascii="Times New Roman" w:eastAsia="Times New Roman" w:hAnsi="Times New Roman" w:cs="Times New Roman"/>
          <w:sz w:val="24"/>
          <w:szCs w:val="24"/>
        </w:rPr>
        <w:t>[t]</w:t>
      </w:r>
      <w:r w:rsidR="00BC2D96">
        <w:rPr>
          <w:rFonts w:ascii="Times New Roman" w:eastAsia="Times New Roman" w:hAnsi="Times New Roman" w:cs="Times New Roman"/>
          <w:sz w:val="24"/>
          <w:szCs w:val="24"/>
        </w:rPr>
        <w:t>he obligation to explore every alternative to eviction, never to evict into homelessness and to ensure that residents are adequately consulted about resettlement plans should be applied under domestic law to both private and public land.”</w:t>
      </w:r>
      <w:r w:rsidR="00BC2D96">
        <w:rPr>
          <w:vertAlign w:val="superscript"/>
        </w:rPr>
        <w:footnoteReference w:id="79"/>
      </w:r>
      <w:r w:rsidR="00BC2D96">
        <w:rPr>
          <w:vertAlign w:val="superscript"/>
        </w:rPr>
        <w:t xml:space="preserve"> </w:t>
      </w:r>
      <w:r w:rsidR="00BC2D96">
        <w:rPr>
          <w:rFonts w:ascii="Times New Roman" w:eastAsia="Times New Roman" w:hAnsi="Times New Roman" w:cs="Times New Roman"/>
          <w:sz w:val="24"/>
          <w:szCs w:val="24"/>
        </w:rPr>
        <w:t xml:space="preserve"> Alternative housing must be provided that meets better or equal standards of living than the original land, and satisfies other requirements of the right to adequate housing</w:t>
      </w:r>
      <w:r w:rsidR="00BC2D96">
        <w:rPr>
          <w:vertAlign w:val="superscript"/>
        </w:rPr>
        <w:t>.</w:t>
      </w:r>
      <w:r w:rsidR="00BC2D96">
        <w:rPr>
          <w:vertAlign w:val="superscript"/>
        </w:rPr>
        <w:footnoteReference w:id="80"/>
      </w:r>
    </w:p>
    <w:p w14:paraId="704A02CF" w14:textId="736D895A" w:rsidR="00A04000" w:rsidRDefault="0057738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BC2D96">
        <w:rPr>
          <w:rFonts w:ascii="Times New Roman" w:eastAsia="Times New Roman" w:hAnsi="Times New Roman" w:cs="Times New Roman"/>
          <w:sz w:val="24"/>
          <w:szCs w:val="24"/>
        </w:rPr>
        <w:t xml:space="preserve">o ensure a right to live in the community after upgrading </w:t>
      </w:r>
      <w:r w:rsidR="001942C7">
        <w:rPr>
          <w:rFonts w:ascii="Times New Roman" w:eastAsia="Times New Roman" w:hAnsi="Times New Roman" w:cs="Times New Roman"/>
          <w:sz w:val="24"/>
          <w:szCs w:val="24"/>
        </w:rPr>
        <w:t>has been</w:t>
      </w:r>
      <w:r w:rsidR="00BC2D96">
        <w:rPr>
          <w:rFonts w:ascii="Times New Roman" w:eastAsia="Times New Roman" w:hAnsi="Times New Roman" w:cs="Times New Roman"/>
          <w:sz w:val="24"/>
          <w:szCs w:val="24"/>
        </w:rPr>
        <w:t xml:space="preserve"> completed, measures must be implemented to prevent existing communities from being priced out of upgraded housing.  Residents must have a right to return to their former community following temporary relocation. This means not </w:t>
      </w:r>
      <w:r w:rsidR="00CF357F">
        <w:rPr>
          <w:rFonts w:ascii="Times New Roman" w:eastAsia="Times New Roman" w:hAnsi="Times New Roman" w:cs="Times New Roman"/>
          <w:sz w:val="24"/>
          <w:szCs w:val="24"/>
        </w:rPr>
        <w:t>only</w:t>
      </w:r>
      <w:r w:rsidR="00BC2D96">
        <w:rPr>
          <w:rFonts w:ascii="Times New Roman" w:eastAsia="Times New Roman" w:hAnsi="Times New Roman" w:cs="Times New Roman"/>
          <w:sz w:val="24"/>
          <w:szCs w:val="24"/>
        </w:rPr>
        <w:t xml:space="preserve"> making units available to them but using price caps and subsidies to ensure </w:t>
      </w:r>
      <w:r w:rsidR="00BC2D96">
        <w:rPr>
          <w:rFonts w:ascii="Times New Roman" w:eastAsia="Times New Roman" w:hAnsi="Times New Roman" w:cs="Times New Roman"/>
          <w:sz w:val="24"/>
          <w:szCs w:val="24"/>
        </w:rPr>
        <w:lastRenderedPageBreak/>
        <w:t xml:space="preserve">that they are able to </w:t>
      </w:r>
      <w:r w:rsidR="00BB5AAB">
        <w:rPr>
          <w:rFonts w:ascii="Times New Roman" w:eastAsia="Times New Roman" w:hAnsi="Times New Roman" w:cs="Times New Roman"/>
          <w:sz w:val="24"/>
          <w:szCs w:val="24"/>
        </w:rPr>
        <w:t>continue</w:t>
      </w:r>
      <w:r w:rsidR="00BC2D96">
        <w:rPr>
          <w:rFonts w:ascii="Times New Roman" w:eastAsia="Times New Roman" w:hAnsi="Times New Roman" w:cs="Times New Roman"/>
          <w:sz w:val="24"/>
          <w:szCs w:val="24"/>
        </w:rPr>
        <w:t xml:space="preserve"> living in their community </w:t>
      </w:r>
      <w:r w:rsidR="00BB5AAB">
        <w:rPr>
          <w:rFonts w:ascii="Times New Roman" w:eastAsia="Times New Roman" w:hAnsi="Times New Roman" w:cs="Times New Roman"/>
          <w:sz w:val="24"/>
          <w:szCs w:val="24"/>
        </w:rPr>
        <w:t xml:space="preserve">following </w:t>
      </w:r>
      <w:r w:rsidR="00BC2D96">
        <w:rPr>
          <w:rFonts w:ascii="Times New Roman" w:eastAsia="Times New Roman" w:hAnsi="Times New Roman" w:cs="Times New Roman"/>
          <w:sz w:val="24"/>
          <w:szCs w:val="24"/>
        </w:rPr>
        <w:t>redevelopment</w:t>
      </w:r>
      <w:r w:rsidR="00A60C14">
        <w:rPr>
          <w:rFonts w:ascii="Times New Roman" w:eastAsia="Times New Roman" w:hAnsi="Times New Roman" w:cs="Times New Roman"/>
          <w:sz w:val="24"/>
          <w:szCs w:val="24"/>
        </w:rPr>
        <w:t>.</w:t>
      </w:r>
      <w:r w:rsidR="00BC2D96">
        <w:rPr>
          <w:rFonts w:ascii="Times New Roman" w:eastAsia="Times New Roman" w:hAnsi="Times New Roman" w:cs="Times New Roman"/>
          <w:sz w:val="24"/>
          <w:szCs w:val="24"/>
        </w:rPr>
        <w:t xml:space="preserve"> </w:t>
      </w:r>
      <w:r w:rsidR="00A60C14">
        <w:rPr>
          <w:rFonts w:ascii="Times New Roman" w:eastAsia="Times New Roman" w:hAnsi="Times New Roman" w:cs="Times New Roman"/>
          <w:sz w:val="24"/>
          <w:szCs w:val="24"/>
        </w:rPr>
        <w:t xml:space="preserve">It </w:t>
      </w:r>
      <w:r w:rsidR="00BB5AAB">
        <w:rPr>
          <w:rFonts w:ascii="Times New Roman" w:eastAsia="Times New Roman" w:hAnsi="Times New Roman" w:cs="Times New Roman"/>
          <w:sz w:val="24"/>
          <w:szCs w:val="24"/>
        </w:rPr>
        <w:t xml:space="preserve">also </w:t>
      </w:r>
      <w:r w:rsidR="00A60C14">
        <w:rPr>
          <w:rFonts w:ascii="Times New Roman" w:eastAsia="Times New Roman" w:hAnsi="Times New Roman" w:cs="Times New Roman"/>
          <w:sz w:val="24"/>
          <w:szCs w:val="24"/>
        </w:rPr>
        <w:t xml:space="preserve">means </w:t>
      </w:r>
      <w:r w:rsidR="00273A43">
        <w:rPr>
          <w:rFonts w:ascii="Times New Roman" w:eastAsia="Times New Roman" w:hAnsi="Times New Roman" w:cs="Times New Roman"/>
          <w:sz w:val="24"/>
          <w:szCs w:val="24"/>
        </w:rPr>
        <w:t xml:space="preserve">ensuring </w:t>
      </w:r>
      <w:r w:rsidR="00BC2D96">
        <w:rPr>
          <w:rFonts w:ascii="Times New Roman" w:eastAsia="Times New Roman" w:hAnsi="Times New Roman" w:cs="Times New Roman"/>
          <w:sz w:val="24"/>
          <w:szCs w:val="24"/>
        </w:rPr>
        <w:t>that upgraded communities retain the diversity and characteristics of the original community.</w:t>
      </w:r>
      <w:r w:rsidR="00BC2D96">
        <w:rPr>
          <w:vertAlign w:val="superscript"/>
        </w:rPr>
        <w:footnoteReference w:id="81"/>
      </w:r>
    </w:p>
    <w:p w14:paraId="4DD82AE4" w14:textId="77777777" w:rsidR="00A04000" w:rsidRDefault="00BC2D96" w:rsidP="006A2C1B">
      <w:pPr>
        <w:pStyle w:val="Heading2"/>
        <w:numPr>
          <w:ilvl w:val="0"/>
          <w:numId w:val="10"/>
        </w:numPr>
      </w:pPr>
      <w:bookmarkStart w:id="51" w:name="_1ci93xb" w:colFirst="0" w:colLast="0"/>
      <w:bookmarkStart w:id="52" w:name="_Toc22031138"/>
      <w:bookmarkEnd w:id="51"/>
      <w:r>
        <w:t>Right to Compensation</w:t>
      </w:r>
      <w:bookmarkEnd w:id="52"/>
    </w:p>
    <w:p w14:paraId="78F23D4C" w14:textId="77777777"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housing and development upgrading, all those affected have a right to adequate compensation for any loss of property, both personal and real.</w:t>
      </w:r>
      <w:r>
        <w:rPr>
          <w:vertAlign w:val="superscript"/>
        </w:rPr>
        <w:footnoteReference w:id="82"/>
      </w:r>
      <w:r>
        <w:rPr>
          <w:rFonts w:ascii="Times New Roman" w:eastAsia="Times New Roman" w:hAnsi="Times New Roman" w:cs="Times New Roman"/>
          <w:sz w:val="24"/>
          <w:szCs w:val="24"/>
        </w:rPr>
        <w:t xml:space="preserve"> In this respect, the CESCR cites Article 2.3 of the ICCPR, which requires States Parties to ensure "an effective remedy" for persons whose rights have been violated as well as the obligation of "competent authorities (to) enforce such remedies when granted".</w:t>
      </w:r>
      <w:r>
        <w:rPr>
          <w:vertAlign w:val="superscript"/>
        </w:rPr>
        <w:footnoteReference w:id="83"/>
      </w:r>
      <w:r>
        <w:rPr>
          <w:vertAlign w:val="superscript"/>
        </w:rPr>
        <w:t xml:space="preserve"> </w:t>
      </w:r>
    </w:p>
    <w:p w14:paraId="00268FF7" w14:textId="2F9F52C7" w:rsidR="00A04000" w:rsidRDefault="009D407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Private </w:t>
      </w:r>
      <w:r w:rsidR="00E83F4C">
        <w:rPr>
          <w:rFonts w:ascii="Times New Roman" w:eastAsia="Times New Roman" w:hAnsi="Times New Roman" w:cs="Times New Roman"/>
          <w:sz w:val="24"/>
          <w:szCs w:val="24"/>
        </w:rPr>
        <w:t>investment</w:t>
      </w:r>
      <w:r w:rsidR="00BC2D96">
        <w:rPr>
          <w:rFonts w:ascii="Times New Roman" w:eastAsia="Times New Roman" w:hAnsi="Times New Roman" w:cs="Times New Roman"/>
          <w:sz w:val="24"/>
          <w:szCs w:val="24"/>
        </w:rPr>
        <w:t xml:space="preserve"> must </w:t>
      </w:r>
      <w:r w:rsidR="00E83F4C">
        <w:rPr>
          <w:rFonts w:ascii="Times New Roman" w:eastAsia="Times New Roman" w:hAnsi="Times New Roman" w:cs="Times New Roman"/>
          <w:sz w:val="24"/>
          <w:szCs w:val="24"/>
        </w:rPr>
        <w:t xml:space="preserve">also </w:t>
      </w:r>
      <w:r w:rsidR="00BC2D96">
        <w:rPr>
          <w:rFonts w:ascii="Times New Roman" w:eastAsia="Times New Roman" w:hAnsi="Times New Roman" w:cs="Times New Roman"/>
          <w:sz w:val="24"/>
          <w:szCs w:val="24"/>
        </w:rPr>
        <w:t xml:space="preserve">play a significant role in </w:t>
      </w:r>
      <w:r w:rsidR="007072C9">
        <w:rPr>
          <w:rFonts w:ascii="Times New Roman" w:eastAsia="Times New Roman" w:hAnsi="Times New Roman" w:cs="Times New Roman"/>
          <w:sz w:val="24"/>
          <w:szCs w:val="24"/>
        </w:rPr>
        <w:t xml:space="preserve">the realization of </w:t>
      </w:r>
      <w:r w:rsidR="00BC2D96">
        <w:rPr>
          <w:rFonts w:ascii="Times New Roman" w:eastAsia="Times New Roman" w:hAnsi="Times New Roman" w:cs="Times New Roman"/>
          <w:sz w:val="24"/>
          <w:szCs w:val="24"/>
        </w:rPr>
        <w:t>the right to adequate housing</w:t>
      </w:r>
      <w:r w:rsidR="00726889">
        <w:rPr>
          <w:rFonts w:ascii="Times New Roman" w:eastAsia="Times New Roman" w:hAnsi="Times New Roman" w:cs="Times New Roman"/>
          <w:sz w:val="24"/>
          <w:szCs w:val="24"/>
        </w:rPr>
        <w:t xml:space="preserve"> in upgrading and development</w:t>
      </w:r>
      <w:r w:rsidR="00BC2D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00BC2D96">
        <w:rPr>
          <w:rFonts w:ascii="Times New Roman" w:eastAsia="Times New Roman" w:hAnsi="Times New Roman" w:cs="Times New Roman"/>
          <w:sz w:val="24"/>
          <w:szCs w:val="24"/>
        </w:rPr>
        <w:t xml:space="preserve">rivate investment in housing and real estate </w:t>
      </w:r>
      <w:r w:rsidR="00D60F07">
        <w:rPr>
          <w:rFonts w:ascii="Times New Roman" w:eastAsia="Times New Roman" w:hAnsi="Times New Roman" w:cs="Times New Roman"/>
          <w:sz w:val="24"/>
          <w:szCs w:val="24"/>
        </w:rPr>
        <w:t>must</w:t>
      </w:r>
      <w:r w:rsidR="00BC2D96">
        <w:rPr>
          <w:rFonts w:ascii="Times New Roman" w:eastAsia="Times New Roman" w:hAnsi="Times New Roman" w:cs="Times New Roman"/>
          <w:sz w:val="24"/>
          <w:szCs w:val="24"/>
        </w:rPr>
        <w:t xml:space="preserve"> support upgrading and create affordable housing. A reasonable component of any private development and investment in land or housing must therefore be directed towards the housing needs in communities that are temporarily or permanently displaced by upgrading projects.</w:t>
      </w:r>
      <w:r w:rsidR="00BC2D96">
        <w:rPr>
          <w:vertAlign w:val="superscript"/>
        </w:rPr>
        <w:footnoteReference w:id="84"/>
      </w:r>
    </w:p>
    <w:p w14:paraId="3D2C1C75" w14:textId="06EFD575" w:rsidR="00A04000" w:rsidRDefault="00BC2D96" w:rsidP="006A2C1B">
      <w:pPr>
        <w:pStyle w:val="Heading1"/>
        <w:numPr>
          <w:ilvl w:val="0"/>
          <w:numId w:val="6"/>
        </w:numPr>
      </w:pPr>
      <w:bookmarkStart w:id="53" w:name="_3whwml4" w:colFirst="0" w:colLast="0"/>
      <w:bookmarkStart w:id="54" w:name="_Toc22031139"/>
      <w:bookmarkEnd w:id="53"/>
      <w:r w:rsidRPr="006A2C1B">
        <w:t>Conclusion</w:t>
      </w:r>
      <w:bookmarkEnd w:id="54"/>
    </w:p>
    <w:p w14:paraId="604C8161" w14:textId="4C3B4532"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housing upgrading and development projects that involve low rent neighbourhoods and marginalized groups, the duty to accommodate Code</w:t>
      </w:r>
      <w:r w:rsidR="00BD5A97">
        <w:rPr>
          <w:rFonts w:ascii="Times New Roman" w:eastAsia="Times New Roman" w:hAnsi="Times New Roman" w:cs="Times New Roman"/>
          <w:sz w:val="24"/>
          <w:szCs w:val="24"/>
        </w:rPr>
        <w:t>-</w:t>
      </w:r>
      <w:r>
        <w:rPr>
          <w:rFonts w:ascii="Times New Roman" w:eastAsia="Times New Roman" w:hAnsi="Times New Roman" w:cs="Times New Roman"/>
          <w:sz w:val="24"/>
          <w:szCs w:val="24"/>
        </w:rPr>
        <w:t>protected groups should be interpreted as providing the same level of protection to vulnerable groups as those required by relevant international human rights law. Such an approach is informed not only by principles of statutory interpretation but also by the benefit to be drawn from evolving international experience about how best to address the discriminatory effects of development and displacement by private developers increasingly experienced by vulnerable groups in cities around the world.</w:t>
      </w:r>
    </w:p>
    <w:p w14:paraId="720C4E03" w14:textId="0CB92B86"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international human rights law, governments </w:t>
      </w:r>
      <w:r w:rsidR="008B1437">
        <w:rPr>
          <w:rFonts w:ascii="Times New Roman" w:eastAsia="Times New Roman" w:hAnsi="Times New Roman" w:cs="Times New Roman"/>
          <w:sz w:val="24"/>
          <w:szCs w:val="24"/>
        </w:rPr>
        <w:t xml:space="preserve">are obligated </w:t>
      </w:r>
      <w:r>
        <w:rPr>
          <w:rFonts w:ascii="Times New Roman" w:eastAsia="Times New Roman" w:hAnsi="Times New Roman" w:cs="Times New Roman"/>
          <w:sz w:val="24"/>
          <w:szCs w:val="24"/>
        </w:rPr>
        <w:t>to ensure that the needs of vulnerable groups are accommodated</w:t>
      </w:r>
      <w:r w:rsidR="00B50A28">
        <w:rPr>
          <w:rFonts w:ascii="Times New Roman" w:eastAsia="Times New Roman" w:hAnsi="Times New Roman" w:cs="Times New Roman"/>
          <w:sz w:val="24"/>
          <w:szCs w:val="24"/>
        </w:rPr>
        <w:t>, including by private actors</w:t>
      </w:r>
      <w:r>
        <w:rPr>
          <w:rFonts w:ascii="Times New Roman" w:eastAsia="Times New Roman" w:hAnsi="Times New Roman" w:cs="Times New Roman"/>
          <w:sz w:val="24"/>
          <w:szCs w:val="24"/>
        </w:rPr>
        <w:t xml:space="preserve">. </w:t>
      </w:r>
      <w:r w:rsidR="001A23EE">
        <w:rPr>
          <w:rFonts w:ascii="Times New Roman" w:eastAsia="Times New Roman" w:hAnsi="Times New Roman" w:cs="Times New Roman"/>
          <w:sz w:val="24"/>
          <w:szCs w:val="24"/>
        </w:rPr>
        <w:t>D</w:t>
      </w:r>
      <w:r w:rsidR="006F3C19">
        <w:rPr>
          <w:rFonts w:ascii="Times New Roman" w:eastAsia="Times New Roman" w:hAnsi="Times New Roman" w:cs="Times New Roman"/>
          <w:sz w:val="24"/>
          <w:szCs w:val="24"/>
        </w:rPr>
        <w:t xml:space="preserve">omestic </w:t>
      </w:r>
      <w:r>
        <w:rPr>
          <w:rFonts w:ascii="Times New Roman" w:eastAsia="Times New Roman" w:hAnsi="Times New Roman" w:cs="Times New Roman"/>
          <w:sz w:val="24"/>
          <w:szCs w:val="24"/>
        </w:rPr>
        <w:t xml:space="preserve">legislation </w:t>
      </w:r>
      <w:r w:rsidR="006538C7">
        <w:rPr>
          <w:rFonts w:ascii="Times New Roman" w:eastAsia="Times New Roman" w:hAnsi="Times New Roman" w:cs="Times New Roman"/>
          <w:sz w:val="24"/>
          <w:szCs w:val="24"/>
        </w:rPr>
        <w:t xml:space="preserve">such as the Code </w:t>
      </w:r>
      <w:r w:rsidR="006F3C19">
        <w:rPr>
          <w:rFonts w:ascii="Times New Roman" w:eastAsia="Times New Roman" w:hAnsi="Times New Roman" w:cs="Times New Roman"/>
          <w:sz w:val="24"/>
          <w:szCs w:val="24"/>
        </w:rPr>
        <w:t xml:space="preserve">must be interpreted in a way </w:t>
      </w:r>
      <w:r>
        <w:rPr>
          <w:rFonts w:ascii="Times New Roman" w:eastAsia="Times New Roman" w:hAnsi="Times New Roman" w:cs="Times New Roman"/>
          <w:sz w:val="24"/>
          <w:szCs w:val="24"/>
        </w:rPr>
        <w:t xml:space="preserve">that </w:t>
      </w:r>
      <w:r w:rsidR="00771DF2">
        <w:rPr>
          <w:rFonts w:ascii="Times New Roman" w:eastAsia="Times New Roman" w:hAnsi="Times New Roman" w:cs="Times New Roman"/>
          <w:sz w:val="24"/>
          <w:szCs w:val="24"/>
        </w:rPr>
        <w:t>con</w:t>
      </w:r>
      <w:r w:rsidR="00ED3C52">
        <w:rPr>
          <w:rFonts w:ascii="Times New Roman" w:eastAsia="Times New Roman" w:hAnsi="Times New Roman" w:cs="Times New Roman"/>
          <w:sz w:val="24"/>
          <w:szCs w:val="24"/>
        </w:rPr>
        <w:t>forms with this obligation</w:t>
      </w:r>
      <w:r>
        <w:rPr>
          <w:rFonts w:ascii="Times New Roman" w:eastAsia="Times New Roman" w:hAnsi="Times New Roman" w:cs="Times New Roman"/>
          <w:sz w:val="24"/>
          <w:szCs w:val="24"/>
        </w:rPr>
        <w:t xml:space="preserve">. As with the accommodation of persons with disabilities required by the </w:t>
      </w:r>
      <w:r w:rsidRPr="000108C1">
        <w:rPr>
          <w:rFonts w:ascii="Times New Roman" w:eastAsia="Times New Roman" w:hAnsi="Times New Roman" w:cs="Times New Roman"/>
          <w:i/>
          <w:iCs/>
          <w:sz w:val="24"/>
          <w:szCs w:val="24"/>
        </w:rPr>
        <w:t>Convention on the Rights of Persons with Disabilities</w:t>
      </w:r>
      <w:r>
        <w:rPr>
          <w:rFonts w:ascii="Times New Roman" w:eastAsia="Times New Roman" w:hAnsi="Times New Roman" w:cs="Times New Roman"/>
          <w:sz w:val="24"/>
          <w:szCs w:val="24"/>
        </w:rPr>
        <w:t xml:space="preserve">, governments meet their obligations through a combination of </w:t>
      </w:r>
      <w:r w:rsidR="00DF7A37">
        <w:rPr>
          <w:rFonts w:ascii="Times New Roman" w:eastAsia="Times New Roman" w:hAnsi="Times New Roman" w:cs="Times New Roman"/>
          <w:sz w:val="24"/>
          <w:szCs w:val="24"/>
        </w:rPr>
        <w:t xml:space="preserve">accommodation </w:t>
      </w:r>
      <w:r>
        <w:rPr>
          <w:rFonts w:ascii="Times New Roman" w:eastAsia="Times New Roman" w:hAnsi="Times New Roman" w:cs="Times New Roman"/>
          <w:sz w:val="24"/>
          <w:szCs w:val="24"/>
        </w:rPr>
        <w:t>measures undertaken by governments themselves and imposed on private actors</w:t>
      </w:r>
      <w:r w:rsidR="000108C1">
        <w:rPr>
          <w:rFonts w:ascii="Times New Roman" w:eastAsia="Times New Roman" w:hAnsi="Times New Roman" w:cs="Times New Roman"/>
          <w:sz w:val="24"/>
          <w:szCs w:val="24"/>
        </w:rPr>
        <w:t xml:space="preserve"> under human rights and other legislation</w:t>
      </w:r>
      <w:r>
        <w:rPr>
          <w:rFonts w:ascii="Times New Roman" w:eastAsia="Times New Roman" w:hAnsi="Times New Roman" w:cs="Times New Roman"/>
          <w:sz w:val="24"/>
          <w:szCs w:val="24"/>
        </w:rPr>
        <w:t>.</w:t>
      </w:r>
    </w:p>
    <w:p w14:paraId="5D19B8E2" w14:textId="3FF57454" w:rsidR="00A04000" w:rsidRDefault="00BC2D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Code requires accommodation of the needs of protected groups</w:t>
      </w:r>
      <w:r w:rsidR="00CF1D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01CE6">
        <w:rPr>
          <w:rFonts w:ascii="Times New Roman" w:eastAsia="Times New Roman" w:hAnsi="Times New Roman" w:cs="Times New Roman"/>
          <w:sz w:val="24"/>
          <w:szCs w:val="24"/>
        </w:rPr>
        <w:t>When interpreted</w:t>
      </w:r>
      <w:r>
        <w:rPr>
          <w:rFonts w:ascii="Times New Roman" w:eastAsia="Times New Roman" w:hAnsi="Times New Roman" w:cs="Times New Roman"/>
          <w:sz w:val="24"/>
          <w:szCs w:val="24"/>
        </w:rPr>
        <w:t xml:space="preserve"> consistently with Ontario’s obligations under international human rights law</w:t>
      </w:r>
      <w:r w:rsidR="006D3D97">
        <w:rPr>
          <w:rFonts w:ascii="Times New Roman" w:eastAsia="Times New Roman" w:hAnsi="Times New Roman" w:cs="Times New Roman"/>
          <w:sz w:val="24"/>
          <w:szCs w:val="24"/>
        </w:rPr>
        <w:t>, the Code imposes a duty to accommodate in the context of housing upgrading and development</w:t>
      </w:r>
      <w:r>
        <w:rPr>
          <w:rFonts w:ascii="Times New Roman" w:eastAsia="Times New Roman" w:hAnsi="Times New Roman" w:cs="Times New Roman"/>
          <w:sz w:val="24"/>
          <w:szCs w:val="24"/>
        </w:rPr>
        <w:t xml:space="preserve">.  The question of </w:t>
      </w:r>
      <w:r w:rsidR="007179D7">
        <w:rPr>
          <w:rFonts w:ascii="Times New Roman" w:eastAsia="Times New Roman" w:hAnsi="Times New Roman" w:cs="Times New Roman"/>
          <w:sz w:val="24"/>
          <w:szCs w:val="24"/>
        </w:rPr>
        <w:t>the division</w:t>
      </w:r>
      <w:r w:rsidR="00C263B7">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 xml:space="preserve"> </w:t>
      </w:r>
      <w:r w:rsidR="007179D7">
        <w:rPr>
          <w:rFonts w:ascii="Times New Roman" w:eastAsia="Times New Roman" w:hAnsi="Times New Roman" w:cs="Times New Roman"/>
          <w:sz w:val="24"/>
          <w:szCs w:val="24"/>
        </w:rPr>
        <w:t>responsibilit</w:t>
      </w:r>
      <w:r w:rsidR="00A44587">
        <w:rPr>
          <w:rFonts w:ascii="Times New Roman" w:eastAsia="Times New Roman" w:hAnsi="Times New Roman" w:cs="Times New Roman"/>
          <w:sz w:val="24"/>
          <w:szCs w:val="24"/>
        </w:rPr>
        <w:t>y to</w:t>
      </w:r>
      <w:r w:rsidR="00DD7EC4">
        <w:rPr>
          <w:rFonts w:ascii="Times New Roman" w:eastAsia="Times New Roman" w:hAnsi="Times New Roman" w:cs="Times New Roman"/>
          <w:sz w:val="24"/>
          <w:szCs w:val="24"/>
        </w:rPr>
        <w:t xml:space="preserve"> accommodate</w:t>
      </w:r>
      <w:r w:rsidR="007179D7">
        <w:rPr>
          <w:rFonts w:ascii="Times New Roman" w:eastAsia="Times New Roman" w:hAnsi="Times New Roman" w:cs="Times New Roman"/>
          <w:sz w:val="24"/>
          <w:szCs w:val="24"/>
        </w:rPr>
        <w:t xml:space="preserve"> as between </w:t>
      </w:r>
      <w:r>
        <w:rPr>
          <w:rFonts w:ascii="Times New Roman" w:eastAsia="Times New Roman" w:hAnsi="Times New Roman" w:cs="Times New Roman"/>
          <w:sz w:val="24"/>
          <w:szCs w:val="24"/>
        </w:rPr>
        <w:t xml:space="preserve">relevant municipalities, other levels of government, </w:t>
      </w:r>
      <w:r w:rsidR="00C263B7">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private developers, </w:t>
      </w:r>
      <w:r w:rsidR="006D0077">
        <w:rPr>
          <w:rFonts w:ascii="Times New Roman" w:eastAsia="Times New Roman" w:hAnsi="Times New Roman" w:cs="Times New Roman"/>
          <w:sz w:val="24"/>
          <w:szCs w:val="24"/>
        </w:rPr>
        <w:t>must</w:t>
      </w:r>
      <w:r>
        <w:rPr>
          <w:rFonts w:ascii="Times New Roman" w:eastAsia="Times New Roman" w:hAnsi="Times New Roman" w:cs="Times New Roman"/>
          <w:sz w:val="24"/>
          <w:szCs w:val="24"/>
        </w:rPr>
        <w:t xml:space="preserve"> be resolved on a case by case basis. Under international law, </w:t>
      </w:r>
      <w:r w:rsidR="006D0077">
        <w:rPr>
          <w:rFonts w:ascii="Times New Roman" w:eastAsia="Times New Roman" w:hAnsi="Times New Roman" w:cs="Times New Roman"/>
          <w:sz w:val="24"/>
          <w:szCs w:val="24"/>
        </w:rPr>
        <w:t>such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question</w:t>
      </w:r>
      <w:r w:rsidR="006D0077">
        <w:rPr>
          <w:rFonts w:ascii="Times New Roman" w:eastAsia="Times New Roman" w:hAnsi="Times New Roman" w:cs="Times New Roman"/>
          <w:sz w:val="24"/>
          <w:szCs w:val="24"/>
        </w:rPr>
        <w:t>s are</w:t>
      </w:r>
      <w:r>
        <w:rPr>
          <w:rFonts w:ascii="Times New Roman" w:eastAsia="Times New Roman" w:hAnsi="Times New Roman" w:cs="Times New Roman"/>
          <w:sz w:val="24"/>
          <w:szCs w:val="24"/>
        </w:rPr>
        <w:t xml:space="preserve"> to be resolved by the State, in a manner that ensures that human rights are adequately protected. </w:t>
      </w:r>
      <w:r w:rsidR="00DD7EC4">
        <w:rPr>
          <w:rFonts w:ascii="Times New Roman" w:eastAsia="Times New Roman" w:hAnsi="Times New Roman" w:cs="Times New Roman"/>
          <w:sz w:val="24"/>
          <w:szCs w:val="24"/>
        </w:rPr>
        <w:t>Regardless</w:t>
      </w:r>
      <w:r>
        <w:rPr>
          <w:rFonts w:ascii="Times New Roman" w:eastAsia="Times New Roman" w:hAnsi="Times New Roman" w:cs="Times New Roman"/>
          <w:sz w:val="24"/>
          <w:szCs w:val="24"/>
        </w:rPr>
        <w:t xml:space="preserve">, </w:t>
      </w:r>
      <w:r w:rsidR="00140505">
        <w:rPr>
          <w:rFonts w:ascii="Times New Roman" w:eastAsia="Times New Roman" w:hAnsi="Times New Roman" w:cs="Times New Roman"/>
          <w:sz w:val="24"/>
          <w:szCs w:val="24"/>
        </w:rPr>
        <w:t>the</w:t>
      </w:r>
      <w:r w:rsidR="00324C09">
        <w:rPr>
          <w:rFonts w:ascii="Times New Roman" w:eastAsia="Times New Roman" w:hAnsi="Times New Roman" w:cs="Times New Roman"/>
          <w:sz w:val="24"/>
          <w:szCs w:val="24"/>
        </w:rPr>
        <w:t xml:space="preserve"> purpose</w:t>
      </w:r>
      <w:r>
        <w:rPr>
          <w:rFonts w:ascii="Times New Roman" w:eastAsia="Times New Roman" w:hAnsi="Times New Roman" w:cs="Times New Roman"/>
          <w:sz w:val="24"/>
          <w:szCs w:val="24"/>
        </w:rPr>
        <w:t xml:space="preserve"> </w:t>
      </w:r>
      <w:r w:rsidR="00140505">
        <w:rPr>
          <w:rFonts w:ascii="Times New Roman" w:eastAsia="Times New Roman" w:hAnsi="Times New Roman" w:cs="Times New Roman"/>
          <w:sz w:val="24"/>
          <w:szCs w:val="24"/>
        </w:rPr>
        <w:t xml:space="preserve">of the Code </w:t>
      </w:r>
      <w:r>
        <w:rPr>
          <w:rFonts w:ascii="Times New Roman" w:eastAsia="Times New Roman" w:hAnsi="Times New Roman" w:cs="Times New Roman"/>
          <w:sz w:val="24"/>
          <w:szCs w:val="24"/>
        </w:rPr>
        <w:t>must be respected</w:t>
      </w:r>
      <w:r w:rsidR="004E5A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D7EC4">
        <w:rPr>
          <w:rFonts w:ascii="Times New Roman" w:eastAsia="Times New Roman" w:hAnsi="Times New Roman" w:cs="Times New Roman"/>
          <w:sz w:val="24"/>
          <w:szCs w:val="24"/>
        </w:rPr>
        <w:t xml:space="preserve">and must be </w:t>
      </w:r>
      <w:r w:rsidR="00324C09">
        <w:rPr>
          <w:rFonts w:ascii="Times New Roman" w:eastAsia="Times New Roman" w:hAnsi="Times New Roman" w:cs="Times New Roman"/>
          <w:sz w:val="24"/>
          <w:szCs w:val="24"/>
        </w:rPr>
        <w:t>in line with international human rights law</w:t>
      </w:r>
      <w:r>
        <w:rPr>
          <w:rFonts w:ascii="Times New Roman" w:eastAsia="Times New Roman" w:hAnsi="Times New Roman" w:cs="Times New Roman"/>
          <w:sz w:val="24"/>
          <w:szCs w:val="24"/>
        </w:rPr>
        <w:t>.</w:t>
      </w:r>
    </w:p>
    <w:sectPr w:rsidR="00A04000">
      <w:headerReference w:type="even" r:id="rId21"/>
      <w:headerReference w:type="default" r:id="rId22"/>
      <w:footerReference w:type="default" r:id="rId23"/>
      <w:headerReference w:type="first" r:id="rId24"/>
      <w:pgSz w:w="12240" w:h="15840"/>
      <w:pgMar w:top="1440" w:right="1440" w:bottom="1440" w:left="1440" w:header="720" w:footer="720" w:gutter="0"/>
      <w:pgNumType w:start="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Teja Rachamalla" w:date="2019-10-15T00:53:00Z" w:initials="CO">
    <w:p w14:paraId="2D98E83E" w14:textId="5636D4DA" w:rsidR="006A2C1B" w:rsidRDefault="006A2C1B">
      <w:pPr>
        <w:pStyle w:val="CommentText"/>
      </w:pPr>
      <w:r>
        <w:rPr>
          <w:rStyle w:val="CommentReference"/>
        </w:rPr>
        <w:annotationRef/>
      </w:r>
      <w:r>
        <w:t>Delete reference to Herongate for now?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98E8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98E83E" w16cid:durableId="214F97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911FE" w14:textId="77777777" w:rsidR="00800210" w:rsidRDefault="00800210">
      <w:pPr>
        <w:spacing w:after="0" w:line="240" w:lineRule="auto"/>
      </w:pPr>
      <w:r>
        <w:separator/>
      </w:r>
    </w:p>
  </w:endnote>
  <w:endnote w:type="continuationSeparator" w:id="0">
    <w:p w14:paraId="2E9FE2C1" w14:textId="77777777" w:rsidR="00800210" w:rsidRDefault="00800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435208"/>
      <w:docPartObj>
        <w:docPartGallery w:val="Page Numbers (Bottom of Page)"/>
        <w:docPartUnique/>
      </w:docPartObj>
    </w:sdtPr>
    <w:sdtEndPr>
      <w:rPr>
        <w:noProof/>
      </w:rPr>
    </w:sdtEndPr>
    <w:sdtContent>
      <w:p w14:paraId="2E3F2D36" w14:textId="121735EA" w:rsidR="006A2C1B" w:rsidRDefault="006A2C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734BA2" w14:textId="77777777" w:rsidR="006A2C1B" w:rsidRDefault="006A2C1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F7501" w14:textId="77777777" w:rsidR="00800210" w:rsidRDefault="00800210">
      <w:pPr>
        <w:spacing w:after="0" w:line="240" w:lineRule="auto"/>
      </w:pPr>
      <w:r>
        <w:separator/>
      </w:r>
    </w:p>
  </w:footnote>
  <w:footnote w:type="continuationSeparator" w:id="0">
    <w:p w14:paraId="72AEECC1" w14:textId="77777777" w:rsidR="00800210" w:rsidRDefault="00800210">
      <w:pPr>
        <w:spacing w:after="0" w:line="240" w:lineRule="auto"/>
      </w:pPr>
      <w:r>
        <w:continuationSeparator/>
      </w:r>
    </w:p>
  </w:footnote>
  <w:footnote w:id="1">
    <w:p w14:paraId="5CA268DB" w14:textId="4B958C7F" w:rsidR="006A2C1B" w:rsidRPr="009F2647" w:rsidRDefault="006A2C1B">
      <w:pPr>
        <w:spacing w:after="0" w:line="240" w:lineRule="auto"/>
        <w:rPr>
          <w:sz w:val="20"/>
          <w:szCs w:val="20"/>
        </w:rPr>
      </w:pPr>
      <w:r>
        <w:rPr>
          <w:vertAlign w:val="superscript"/>
        </w:rPr>
        <w:footnoteRef/>
      </w:r>
      <w:r w:rsidRPr="00051103">
        <w:rPr>
          <w:sz w:val="20"/>
          <w:szCs w:val="20"/>
        </w:rPr>
        <w:t xml:space="preserve"> </w:t>
      </w:r>
      <w:r w:rsidRPr="009F2647">
        <w:rPr>
          <w:sz w:val="20"/>
          <w:szCs w:val="20"/>
        </w:rPr>
        <w:t>Note that the evidence that may be required to establish adverse effect or constructive discrimination in these kinds of developments is beyond the scope of this paper.</w:t>
      </w:r>
    </w:p>
  </w:footnote>
  <w:footnote w:id="2">
    <w:p w14:paraId="4ECC9E9F" w14:textId="77777777" w:rsidR="006A2C1B" w:rsidRPr="009F2647" w:rsidRDefault="006A2C1B" w:rsidP="00955B62">
      <w:pPr>
        <w:spacing w:after="0" w:line="240" w:lineRule="auto"/>
        <w:rPr>
          <w:sz w:val="20"/>
          <w:szCs w:val="20"/>
        </w:rPr>
      </w:pPr>
      <w:r w:rsidRPr="009F2647">
        <w:rPr>
          <w:sz w:val="20"/>
          <w:szCs w:val="20"/>
          <w:vertAlign w:val="superscript"/>
        </w:rPr>
        <w:footnoteRef/>
      </w:r>
      <w:r w:rsidRPr="009F2647">
        <w:rPr>
          <w:sz w:val="20"/>
          <w:szCs w:val="20"/>
        </w:rPr>
        <w:t xml:space="preserve"> [citation to come]</w:t>
      </w:r>
    </w:p>
  </w:footnote>
  <w:footnote w:id="3">
    <w:p w14:paraId="068CFB28" w14:textId="030A2A98" w:rsidR="006A2C1B" w:rsidRPr="009F2647" w:rsidRDefault="006A2C1B">
      <w:pPr>
        <w:pStyle w:val="FootnoteText"/>
        <w:rPr>
          <w:lang w:val="en-CA"/>
        </w:rPr>
      </w:pPr>
      <w:r w:rsidRPr="009F2647">
        <w:rPr>
          <w:rStyle w:val="FootnoteReference"/>
        </w:rPr>
        <w:footnoteRef/>
      </w:r>
      <w:r w:rsidRPr="009F2647">
        <w:t xml:space="preserve"> </w:t>
      </w:r>
      <w:r w:rsidRPr="009F2647">
        <w:rPr>
          <w:lang w:val="en-CA"/>
        </w:rPr>
        <w:t>[citation to come]</w:t>
      </w:r>
    </w:p>
  </w:footnote>
  <w:footnote w:id="4">
    <w:p w14:paraId="7D4117A3" w14:textId="77777777" w:rsidR="006A2C1B" w:rsidRPr="009F2647" w:rsidRDefault="006A2C1B">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See </w:t>
      </w:r>
      <w:r w:rsidRPr="009F2647">
        <w:rPr>
          <w:rFonts w:eastAsia="Tahoma"/>
          <w:i/>
          <w:sz w:val="20"/>
          <w:szCs w:val="20"/>
        </w:rPr>
        <w:t>Vander Schaaf v. M &amp; R Property Management Ltd.</w:t>
      </w:r>
      <w:r w:rsidRPr="009F2647">
        <w:rPr>
          <w:rFonts w:eastAsia="Tahoma"/>
          <w:sz w:val="20"/>
          <w:szCs w:val="20"/>
        </w:rPr>
        <w:t xml:space="preserve"> (2000), 38 C.H.R.R. D/251 (Ont. Bd. Inq); see also </w:t>
      </w:r>
      <w:r w:rsidRPr="009F2647">
        <w:rPr>
          <w:rFonts w:eastAsia="Tahoma"/>
          <w:i/>
          <w:sz w:val="20"/>
          <w:szCs w:val="20"/>
        </w:rPr>
        <w:t>Ahmed v. 177061 Canada Ltd.</w:t>
      </w:r>
      <w:r w:rsidRPr="009F2647">
        <w:rPr>
          <w:rFonts w:eastAsia="Tahoma"/>
          <w:sz w:val="20"/>
          <w:szCs w:val="20"/>
        </w:rPr>
        <w:t xml:space="preserve"> (2002), 43 CHRR D/379 (Ont. Bd. Inq.); see also </w:t>
      </w:r>
      <w:r w:rsidRPr="009F2647">
        <w:rPr>
          <w:rFonts w:eastAsia="Tahoma"/>
          <w:i/>
          <w:sz w:val="20"/>
          <w:szCs w:val="20"/>
        </w:rPr>
        <w:t>Sinclair v. Morris A. Hunter Investments Ltd.</w:t>
      </w:r>
      <w:r w:rsidRPr="009F2647">
        <w:rPr>
          <w:rFonts w:eastAsia="Tahoma"/>
          <w:sz w:val="20"/>
          <w:szCs w:val="20"/>
        </w:rPr>
        <w:t xml:space="preserve"> (2001), 41 C.H.R.R. D/98 (Ont. Bd. Inq).</w:t>
      </w:r>
    </w:p>
  </w:footnote>
  <w:footnote w:id="5">
    <w:p w14:paraId="4534B96E" w14:textId="04360505" w:rsidR="006A2C1B" w:rsidRPr="009F2647" w:rsidRDefault="006A2C1B">
      <w:pP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[citation to come]</w:t>
      </w:r>
    </w:p>
  </w:footnote>
  <w:footnote w:id="6">
    <w:p w14:paraId="1C120DA0" w14:textId="77777777" w:rsidR="006A2C1B" w:rsidRPr="009F2647" w:rsidRDefault="006A2C1B">
      <w:pPr>
        <w:spacing w:after="0" w:line="240" w:lineRule="auto"/>
        <w:rPr>
          <w:sz w:val="20"/>
          <w:szCs w:val="20"/>
        </w:rPr>
      </w:pPr>
      <w:r w:rsidRPr="009F2647">
        <w:rPr>
          <w:sz w:val="20"/>
          <w:szCs w:val="20"/>
          <w:vertAlign w:val="superscript"/>
        </w:rPr>
        <w:footnoteRef/>
      </w:r>
      <w:r w:rsidRPr="009F2647">
        <w:rPr>
          <w:sz w:val="20"/>
          <w:szCs w:val="20"/>
        </w:rPr>
        <w:t xml:space="preserve"> Ontario Human Rights Commission, </w:t>
      </w:r>
      <w:r w:rsidRPr="009F2647">
        <w:rPr>
          <w:i/>
          <w:sz w:val="20"/>
          <w:szCs w:val="20"/>
        </w:rPr>
        <w:t xml:space="preserve">Taking the Pulse: People’s opinions on human rights in Ontario </w:t>
      </w:r>
      <w:r w:rsidRPr="009F2647">
        <w:rPr>
          <w:sz w:val="20"/>
          <w:szCs w:val="20"/>
        </w:rPr>
        <w:t xml:space="preserve">(August 2017) at 4, available at </w:t>
      </w:r>
      <w:hyperlink r:id="rId1" w:history="1">
        <w:r w:rsidRPr="009F2647">
          <w:rPr>
            <w:sz w:val="20"/>
            <w:szCs w:val="20"/>
          </w:rPr>
          <w:t>http://www.ohrc.on.ca/en/taking-the-pulse-peoples-opinions-human-rights-ontario</w:t>
        </w:r>
      </w:hyperlink>
      <w:r w:rsidRPr="009F2647">
        <w:rPr>
          <w:sz w:val="20"/>
          <w:szCs w:val="20"/>
        </w:rPr>
        <w:t xml:space="preserve"> [accessed 3 October 2019] (Taking the pulse).</w:t>
      </w:r>
    </w:p>
  </w:footnote>
  <w:footnote w:id="7">
    <w:p w14:paraId="7BA17F06" w14:textId="67A34CD3" w:rsidR="006A2C1B" w:rsidRPr="009F2647" w:rsidRDefault="006A2C1B">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Taking the pulse</w:t>
      </w:r>
      <w:r w:rsidRPr="009F2647">
        <w:rPr>
          <w:rFonts w:eastAsia="Tahoma"/>
          <w:sz w:val="20"/>
          <w:szCs w:val="20"/>
        </w:rPr>
        <w:t xml:space="preserve"> at 4; see also David Hulchanski,</w:t>
      </w:r>
      <w:r w:rsidRPr="009F2647">
        <w:rPr>
          <w:rFonts w:eastAsia="Tahoma"/>
          <w:i/>
          <w:sz w:val="20"/>
          <w:szCs w:val="20"/>
        </w:rPr>
        <w:t xml:space="preserve"> Discrimination: Routine Exclusion of Welfare Recipients in Toronto </w:t>
      </w:r>
      <w:r w:rsidRPr="009F2647">
        <w:rPr>
          <w:rFonts w:eastAsia="Tahoma"/>
          <w:sz w:val="20"/>
          <w:szCs w:val="20"/>
        </w:rPr>
        <w:t>(Toronto, 1992), available at: http://action.web.ca/home/housing/resources.Shtml?x=67 199&amp;AA _EX _ Session= 6c90c199fa2156857 1fc2416a079f9bb.</w:t>
      </w:r>
    </w:p>
  </w:footnote>
  <w:footnote w:id="8">
    <w:p w14:paraId="7D930974" w14:textId="77777777" w:rsidR="006A2C1B" w:rsidRPr="009F2647" w:rsidRDefault="006A2C1B">
      <w:pPr>
        <w:pBdr>
          <w:top w:val="nil"/>
          <w:left w:val="nil"/>
          <w:bottom w:val="nil"/>
          <w:right w:val="nil"/>
          <w:between w:val="nil"/>
        </w:pBd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w:t>
      </w:r>
      <w:r w:rsidRPr="009F2647">
        <w:rPr>
          <w:rFonts w:eastAsia="Tahoma"/>
          <w:color w:val="000000"/>
          <w:sz w:val="20"/>
          <w:szCs w:val="20"/>
        </w:rPr>
        <w:t xml:space="preserve">See Centre for Equality Rights in Accommodation, </w:t>
      </w:r>
      <w:r w:rsidRPr="009F2647">
        <w:rPr>
          <w:rFonts w:eastAsia="Tahoma"/>
          <w:i/>
          <w:color w:val="000000"/>
          <w:sz w:val="20"/>
          <w:szCs w:val="20"/>
        </w:rPr>
        <w:t>Human Rights, Access and Equity: CERA’s recommendations for the Homelessness Action Task Force</w:t>
      </w:r>
      <w:r w:rsidRPr="009F2647">
        <w:rPr>
          <w:rFonts w:eastAsia="Tahoma"/>
          <w:color w:val="000000"/>
          <w:sz w:val="20"/>
          <w:szCs w:val="20"/>
        </w:rPr>
        <w:t xml:space="preserve"> (November, 1998) </w:t>
      </w:r>
      <w:hyperlink r:id="rId2">
        <w:r w:rsidRPr="009F2647">
          <w:rPr>
            <w:rFonts w:eastAsia="Tahoma"/>
            <w:color w:val="000000"/>
            <w:sz w:val="20"/>
            <w:szCs w:val="20"/>
            <w:u w:val="single"/>
          </w:rPr>
          <w:t>http://www.equalityrights.org/cera/docs/golden.htm</w:t>
        </w:r>
      </w:hyperlink>
      <w:r w:rsidRPr="009F2647">
        <w:rPr>
          <w:rFonts w:eastAsia="Tahoma"/>
          <w:color w:val="000000"/>
          <w:sz w:val="20"/>
          <w:szCs w:val="20"/>
        </w:rPr>
        <w:t xml:space="preserve"> [accessed 8 October 2019]; see also Centre for Equality Rights in Accommodation and Social Rights Advocacy Centre, with the National Working Group on Women and Housing in Canada, Submission to the Ontario Human Rights Commission on Human Rights and Rental Housing in Ontario (September 2007) at 6, 7, and 23, available at: </w:t>
      </w:r>
      <w:hyperlink r:id="rId3" w:anchor="inbox?projector=1">
        <w:r w:rsidRPr="009F2647">
          <w:rPr>
            <w:rFonts w:eastAsia="Tahoma"/>
            <w:color w:val="000000"/>
            <w:sz w:val="20"/>
            <w:szCs w:val="20"/>
            <w:u w:val="single"/>
          </w:rPr>
          <w:t>https://mail.google.com/mail/u/0/#inbox?projector=1</w:t>
        </w:r>
      </w:hyperlink>
      <w:r w:rsidRPr="009F2647">
        <w:rPr>
          <w:rFonts w:eastAsia="Tahoma"/>
          <w:color w:val="000000"/>
          <w:sz w:val="20"/>
          <w:szCs w:val="20"/>
        </w:rPr>
        <w:t xml:space="preserve"> [accessed 8 October 2019]</w:t>
      </w:r>
    </w:p>
  </w:footnote>
  <w:footnote w:id="9">
    <w:p w14:paraId="451923DA" w14:textId="65EBE61D" w:rsidR="006A2C1B" w:rsidRPr="009F2647" w:rsidRDefault="006A2C1B">
      <w:pPr>
        <w:pStyle w:val="FootnoteText"/>
        <w:rPr>
          <w:lang w:val="en-CA"/>
        </w:rPr>
      </w:pPr>
      <w:r w:rsidRPr="009F2647">
        <w:rPr>
          <w:rStyle w:val="FootnoteReference"/>
        </w:rPr>
        <w:footnoteRef/>
      </w:r>
      <w:r w:rsidRPr="009F2647">
        <w:t xml:space="preserve"> </w:t>
      </w:r>
      <w:r w:rsidRPr="009F2647">
        <w:rPr>
          <w:lang w:val="en-CA"/>
        </w:rPr>
        <w:t>[citation to come]</w:t>
      </w:r>
    </w:p>
  </w:footnote>
  <w:footnote w:id="10">
    <w:p w14:paraId="36970BA9" w14:textId="77777777" w:rsidR="006A2C1B" w:rsidRPr="009F2647" w:rsidRDefault="006A2C1B" w:rsidP="00955B62">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See, for example, Canadian Centre for Economic Analysis and Canadian Urban Institute, Toronto Housing Market Analysis: From Insight to Action, (January 2019) at 19, 36, and 38, available at </w:t>
      </w:r>
      <w:hyperlink r:id="rId4">
        <w:r w:rsidRPr="0044562D">
          <w:rPr>
            <w:rFonts w:eastAsia="Tahoma"/>
            <w:sz w:val="20"/>
            <w:szCs w:val="20"/>
            <w:u w:val="single"/>
          </w:rPr>
          <w:t>https://www.toronto.ca/legdocs/mmis/2019/ph/bgrd/backgroundfile-124480.pdf</w:t>
        </w:r>
      </w:hyperlink>
      <w:r w:rsidRPr="0044562D">
        <w:rPr>
          <w:rFonts w:eastAsia="Tahoma"/>
          <w:sz w:val="20"/>
          <w:szCs w:val="20"/>
        </w:rPr>
        <w:t>. [a</w:t>
      </w:r>
      <w:r w:rsidRPr="009F2647">
        <w:rPr>
          <w:rFonts w:eastAsia="Tahoma"/>
          <w:sz w:val="20"/>
          <w:szCs w:val="20"/>
        </w:rPr>
        <w:t>dditional citations to come]</w:t>
      </w:r>
    </w:p>
  </w:footnote>
  <w:footnote w:id="11">
    <w:p w14:paraId="5498AEC9" w14:textId="57EB9125" w:rsidR="006A2C1B" w:rsidRPr="009F2647" w:rsidRDefault="006A2C1B">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Kearney </w:t>
      </w:r>
      <w:r w:rsidRPr="009F2647">
        <w:rPr>
          <w:rFonts w:eastAsia="Tahoma"/>
          <w:i/>
          <w:iCs/>
          <w:sz w:val="20"/>
          <w:szCs w:val="20"/>
        </w:rPr>
        <w:t>v.</w:t>
      </w:r>
      <w:r w:rsidRPr="009F2647">
        <w:rPr>
          <w:rFonts w:eastAsia="Tahoma"/>
          <w:i/>
          <w:sz w:val="20"/>
          <w:szCs w:val="20"/>
        </w:rPr>
        <w:t xml:space="preserve"> Bramalea Ltd. (No. 2) </w:t>
      </w:r>
      <w:r w:rsidRPr="009F2647">
        <w:rPr>
          <w:rFonts w:eastAsia="Tahoma"/>
          <w:sz w:val="20"/>
          <w:szCs w:val="20"/>
        </w:rPr>
        <w:t>(1998), 34 C.H.R.R. D/1 (Ont. Bd. Inq.); (2001), 39 C.H.R.R. D/111 (Ont. Sup. Ct.).</w:t>
      </w:r>
      <w:r w:rsidRPr="009F2647">
        <w:rPr>
          <w:rFonts w:eastAsia="Tahoma"/>
          <w:i/>
          <w:sz w:val="20"/>
          <w:szCs w:val="20"/>
        </w:rPr>
        <w:t xml:space="preserve"> </w:t>
      </w:r>
      <w:r w:rsidRPr="009F2647">
        <w:rPr>
          <w:rFonts w:eastAsia="Tahoma"/>
          <w:sz w:val="20"/>
          <w:szCs w:val="20"/>
        </w:rPr>
        <w:t>at paras 27, 36-38 (</w:t>
      </w:r>
      <w:r w:rsidRPr="009F2647">
        <w:rPr>
          <w:rFonts w:eastAsia="Tahoma"/>
          <w:i/>
          <w:iCs/>
          <w:sz w:val="20"/>
          <w:szCs w:val="20"/>
        </w:rPr>
        <w:t>Kearney</w:t>
      </w:r>
      <w:r w:rsidRPr="009F2647">
        <w:rPr>
          <w:rFonts w:eastAsia="Tahoma"/>
          <w:sz w:val="20"/>
          <w:szCs w:val="20"/>
        </w:rPr>
        <w:t xml:space="preserve">). </w:t>
      </w:r>
    </w:p>
  </w:footnote>
  <w:footnote w:id="12">
    <w:p w14:paraId="0B091545" w14:textId="3D8ACF59" w:rsidR="006A2C1B" w:rsidRPr="009F2647" w:rsidRDefault="006A2C1B">
      <w:pPr>
        <w:pStyle w:val="FootnoteText"/>
        <w:rPr>
          <w:lang w:val="en-CA"/>
        </w:rPr>
      </w:pPr>
      <w:r w:rsidRPr="009F2647">
        <w:rPr>
          <w:rStyle w:val="FootnoteReference"/>
        </w:rPr>
        <w:footnoteRef/>
      </w:r>
      <w:r w:rsidRPr="009F2647">
        <w:t xml:space="preserve"> </w:t>
      </w:r>
      <w:r w:rsidRPr="009F2647">
        <w:rPr>
          <w:lang w:val="en-CA"/>
        </w:rPr>
        <w:t>Code, s. 2(1).</w:t>
      </w:r>
    </w:p>
  </w:footnote>
  <w:footnote w:id="13">
    <w:p w14:paraId="00762A98" w14:textId="77777777" w:rsidR="006A2C1B" w:rsidRPr="009F2647" w:rsidRDefault="006A2C1B">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August, Martine and Walk, Alan (2018). “Gentrification, Suburban Decline, and the Financialization of Multi-Family Rental Housing: The Case of Toronto” in Geoforum 89:124-136. </w:t>
      </w:r>
    </w:p>
  </w:footnote>
  <w:footnote w:id="14">
    <w:p w14:paraId="01EB52E8" w14:textId="2125ABC2" w:rsidR="006A2C1B" w:rsidRPr="009F2647" w:rsidRDefault="006A2C1B">
      <w:pPr>
        <w:pStyle w:val="FootnoteText"/>
        <w:rPr>
          <w:lang w:val="en-CA"/>
        </w:rPr>
      </w:pPr>
      <w:r w:rsidRPr="009F2647">
        <w:rPr>
          <w:rStyle w:val="FootnoteReference"/>
        </w:rPr>
        <w:footnoteRef/>
      </w:r>
      <w:r w:rsidRPr="009F2647">
        <w:t xml:space="preserve"> [citation to come]</w:t>
      </w:r>
    </w:p>
  </w:footnote>
  <w:footnote w:id="15">
    <w:p w14:paraId="504CA6F7" w14:textId="032C0ACB" w:rsidR="006A2C1B" w:rsidRPr="009F2647" w:rsidRDefault="006A2C1B">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UN General Assembly, </w:t>
      </w:r>
      <w:r w:rsidRPr="009F2647">
        <w:rPr>
          <w:rFonts w:eastAsia="Tahoma"/>
          <w:i/>
          <w:sz w:val="20"/>
          <w:szCs w:val="20"/>
        </w:rPr>
        <w:t>UNGA, Report of the Special Rapporteur A/73/310/Rev.1 on adequate housing as a component of the right to an adequate standard of living, and on the right to non-discrimination in this context</w:t>
      </w:r>
      <w:r w:rsidRPr="009F2647">
        <w:rPr>
          <w:rFonts w:eastAsia="Tahoma"/>
          <w:sz w:val="20"/>
          <w:szCs w:val="20"/>
        </w:rPr>
        <w:t xml:space="preserve">, 18 September 2018, A/73/310/Rev.1, available at: </w:t>
      </w:r>
      <w:hyperlink r:id="rId5">
        <w:r w:rsidRPr="009F2647">
          <w:rPr>
            <w:rFonts w:eastAsia="Tahoma"/>
            <w:sz w:val="20"/>
            <w:szCs w:val="20"/>
          </w:rPr>
          <w:t>http://www.unhousingrapp.org/user/pages/04.resources/A-73-301-Rev1p.pdf</w:t>
        </w:r>
      </w:hyperlink>
      <w:r w:rsidRPr="009F2647">
        <w:rPr>
          <w:rFonts w:eastAsia="Tahoma"/>
          <w:sz w:val="20"/>
          <w:szCs w:val="20"/>
        </w:rPr>
        <w:t xml:space="preserve">  [UNGA, UNGA, Report of the Special Rapporteur A/73/310/Rev.1 A/73/310/Rev.1] at 12. See also concluding observations of the Human Rights Committee on the fourth periodic report of the United States of America (CCPR/C/USA/CO/4, para. 19) and </w:t>
      </w:r>
      <w:hyperlink r:id="rId6">
        <w:r w:rsidRPr="009F2647">
          <w:rPr>
            <w:rFonts w:eastAsia="Tahoma"/>
            <w:sz w:val="20"/>
            <w:szCs w:val="20"/>
          </w:rPr>
          <w:t>https://wraphome.org/what/homeless-bill-of-rights</w:t>
        </w:r>
      </w:hyperlink>
      <w:r w:rsidRPr="009F2647">
        <w:rPr>
          <w:rFonts w:eastAsia="Tahoma"/>
          <w:sz w:val="20"/>
          <w:szCs w:val="20"/>
        </w:rPr>
        <w:t xml:space="preserve"> /california-right-to-rest-act/.</w:t>
      </w:r>
    </w:p>
  </w:footnote>
  <w:footnote w:id="16">
    <w:p w14:paraId="27AE2FD8" w14:textId="77777777" w:rsidR="006A2C1B" w:rsidRPr="009F2647" w:rsidRDefault="006A2C1B">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British Columbia (Public Service Employee Relations Commission) v. BCGSEU</w:t>
      </w:r>
      <w:r w:rsidRPr="009F2647">
        <w:rPr>
          <w:rFonts w:eastAsia="Tahoma"/>
          <w:sz w:val="20"/>
          <w:szCs w:val="20"/>
        </w:rPr>
        <w:t>, [1999] 3 S.C.R. 3 at paras 26-56.</w:t>
      </w:r>
    </w:p>
  </w:footnote>
  <w:footnote w:id="17">
    <w:p w14:paraId="606E35CD" w14:textId="77777777" w:rsidR="006A2C1B" w:rsidRPr="009F2647" w:rsidRDefault="006A2C1B">
      <w:pPr>
        <w:pBdr>
          <w:top w:val="nil"/>
          <w:left w:val="nil"/>
          <w:bottom w:val="nil"/>
          <w:right w:val="nil"/>
          <w:between w:val="nil"/>
        </w:pBd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w:t>
      </w:r>
      <w:r w:rsidRPr="009F2647">
        <w:rPr>
          <w:i/>
          <w:color w:val="000000"/>
          <w:sz w:val="20"/>
          <w:szCs w:val="20"/>
        </w:rPr>
        <w:t>Moore v. British Columbia (Education)</w:t>
      </w:r>
      <w:r w:rsidRPr="009F2647">
        <w:rPr>
          <w:color w:val="000000"/>
          <w:sz w:val="20"/>
          <w:szCs w:val="20"/>
        </w:rPr>
        <w:t>, 2012 SCC 61, [2012] 3 S.C.R. 360 at paras 33-34.</w:t>
      </w:r>
    </w:p>
  </w:footnote>
  <w:footnote w:id="18">
    <w:p w14:paraId="7F12EC7C" w14:textId="77777777" w:rsidR="006A2C1B" w:rsidRPr="009F2647" w:rsidRDefault="006A2C1B">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Moore v. British Columbia (Education)</w:t>
      </w:r>
      <w:r w:rsidRPr="009F2647">
        <w:rPr>
          <w:rFonts w:eastAsia="Tahoma"/>
          <w:sz w:val="20"/>
          <w:szCs w:val="20"/>
        </w:rPr>
        <w:t>, 2012 SCC 61, [2012] 3 S.C.R. 360 at para 33.</w:t>
      </w:r>
    </w:p>
  </w:footnote>
  <w:footnote w:id="19">
    <w:p w14:paraId="14074A49" w14:textId="77777777" w:rsidR="006A2C1B" w:rsidRPr="009F2647" w:rsidRDefault="006A2C1B">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Peel Law Association v. Pieters</w:t>
      </w:r>
      <w:r w:rsidRPr="009F2647">
        <w:rPr>
          <w:rFonts w:eastAsia="Tahoma"/>
          <w:sz w:val="20"/>
          <w:szCs w:val="20"/>
        </w:rPr>
        <w:t>, 2013 ONCA 396 at paras 59-60 (Pieters).</w:t>
      </w:r>
    </w:p>
  </w:footnote>
  <w:footnote w:id="20">
    <w:p w14:paraId="76B98219"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 xml:space="preserve">Baker v. Canada (Minister of Citizenship and Immigration) </w:t>
      </w:r>
      <w:r w:rsidRPr="009F2647">
        <w:rPr>
          <w:rFonts w:eastAsia="Tahoma"/>
          <w:sz w:val="20"/>
          <w:szCs w:val="20"/>
        </w:rPr>
        <w:t>[1999] 2 SCR 817 at para. 70. Note that, for example, the UN has said that ratifying the </w:t>
      </w:r>
      <w:r w:rsidRPr="009F2647">
        <w:rPr>
          <w:rFonts w:eastAsia="Tahoma"/>
          <w:i/>
          <w:sz w:val="20"/>
          <w:szCs w:val="20"/>
        </w:rPr>
        <w:t>CRPD</w:t>
      </w:r>
      <w:r w:rsidRPr="009F2647">
        <w:rPr>
          <w:rFonts w:eastAsia="Tahoma"/>
          <w:sz w:val="20"/>
          <w:szCs w:val="20"/>
        </w:rPr>
        <w:t> creates a “strong interpretive preference in favour of the Convention. This means that the judiciary will apply domestic law and interpret legislation in a way that is as consistent as possible with the Convention.” UN, </w:t>
      </w:r>
      <w:r w:rsidRPr="009F2647">
        <w:rPr>
          <w:rFonts w:eastAsia="Tahoma"/>
          <w:i/>
          <w:sz w:val="20"/>
          <w:szCs w:val="20"/>
        </w:rPr>
        <w:t>From Exclusion to Equality: Realizing the Rights of Persons with Disabilities: Handbook for Parliamentarians on the Convention on the Rights of Persons with Disabilities and its Optional Protocol </w:t>
      </w:r>
      <w:r w:rsidRPr="009F2647">
        <w:rPr>
          <w:rFonts w:eastAsia="Tahoma"/>
          <w:sz w:val="20"/>
          <w:szCs w:val="20"/>
        </w:rPr>
        <w:t>(Geneva: United Nations, 2007) at 107. </w:t>
      </w:r>
    </w:p>
  </w:footnote>
  <w:footnote w:id="21">
    <w:p w14:paraId="45C0E009"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See also </w:t>
      </w:r>
      <w:r w:rsidRPr="009F2647">
        <w:rPr>
          <w:rFonts w:eastAsia="Tahoma"/>
          <w:i/>
          <w:sz w:val="20"/>
          <w:szCs w:val="20"/>
        </w:rPr>
        <w:t>114957 Canada Ltée (Spraytech, Société d'arrosage) v. Hudson (Town)</w:t>
      </w:r>
      <w:r w:rsidRPr="009F2647">
        <w:rPr>
          <w:rFonts w:eastAsia="Tahoma"/>
          <w:sz w:val="20"/>
          <w:szCs w:val="20"/>
        </w:rPr>
        <w:t xml:space="preserve"> 2001 SCC 40 at para. 30, </w:t>
      </w:r>
      <w:r w:rsidRPr="009F2647">
        <w:rPr>
          <w:rFonts w:eastAsia="Tahoma"/>
          <w:i/>
          <w:sz w:val="20"/>
          <w:szCs w:val="20"/>
        </w:rPr>
        <w:t>Suresh v. Canada (Minister of Citizenship &amp; Immigration)</w:t>
      </w:r>
      <w:r w:rsidRPr="009F2647">
        <w:rPr>
          <w:rFonts w:eastAsia="Tahoma"/>
          <w:sz w:val="20"/>
          <w:szCs w:val="20"/>
        </w:rPr>
        <w:t xml:space="preserve"> 2002 SCC 1 at para 59, and</w:t>
      </w:r>
    </w:p>
    <w:p w14:paraId="135F82ED" w14:textId="77777777" w:rsidR="006A2C1B" w:rsidRPr="009F2647" w:rsidRDefault="006A2C1B">
      <w:pPr>
        <w:spacing w:after="0" w:line="240" w:lineRule="auto"/>
        <w:rPr>
          <w:rFonts w:eastAsia="Tahoma"/>
          <w:sz w:val="20"/>
          <w:szCs w:val="20"/>
        </w:rPr>
      </w:pPr>
      <w:r w:rsidRPr="009F2647">
        <w:rPr>
          <w:rFonts w:eastAsia="Tahoma"/>
          <w:i/>
          <w:sz w:val="20"/>
          <w:szCs w:val="20"/>
        </w:rPr>
        <w:t>R. v. Hape</w:t>
      </w:r>
      <w:r w:rsidRPr="009F2647">
        <w:rPr>
          <w:rFonts w:eastAsia="Tahoma"/>
          <w:sz w:val="20"/>
          <w:szCs w:val="20"/>
        </w:rPr>
        <w:t xml:space="preserve"> 2007 SCC 26 at paras 53-54; See also Gib van Ert, “Canada in International Law at 150 and Beyond - Paper No. 2 - January 2018: The Reception of International Law in Canada - Three Ways We Might Go Wrong” (Centre for International Governance Innovation, 2018), online: </w:t>
      </w:r>
      <w:hyperlink r:id="rId7">
        <w:r w:rsidRPr="009F2647">
          <w:rPr>
            <w:rFonts w:eastAsia="Tahoma"/>
            <w:sz w:val="20"/>
            <w:szCs w:val="20"/>
          </w:rPr>
          <w:t>https://www.cigionline.org/sites/default/files/documents/Reflections%20Series%20Paper%20no.2web.pdf</w:t>
        </w:r>
      </w:hyperlink>
      <w:r w:rsidRPr="009F2647">
        <w:rPr>
          <w:rFonts w:eastAsia="Tahoma"/>
          <w:sz w:val="20"/>
          <w:szCs w:val="20"/>
        </w:rPr>
        <w:t>.</w:t>
      </w:r>
    </w:p>
  </w:footnote>
  <w:footnote w:id="22">
    <w:p w14:paraId="39C234B7" w14:textId="77777777" w:rsidR="006A2C1B" w:rsidRPr="009F2647" w:rsidRDefault="006A2C1B" w:rsidP="00FD2649">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UN Committee on Economic, Social and Cultural Rights (CESCR), </w:t>
      </w:r>
      <w:r w:rsidRPr="009F2647">
        <w:rPr>
          <w:rFonts w:eastAsia="Tahoma"/>
          <w:i/>
          <w:sz w:val="20"/>
          <w:szCs w:val="20"/>
        </w:rPr>
        <w:t>General Comment No. 9: The domestic application of the Covenant</w:t>
      </w:r>
      <w:r w:rsidRPr="009F2647">
        <w:rPr>
          <w:rFonts w:eastAsia="Tahoma"/>
          <w:sz w:val="20"/>
          <w:szCs w:val="20"/>
        </w:rPr>
        <w:t>, 3 December 1998, E/C.12/1998/24 at paras 14, 15.</w:t>
      </w:r>
    </w:p>
  </w:footnote>
  <w:footnote w:id="23">
    <w:p w14:paraId="79538688" w14:textId="77777777" w:rsidR="006A2C1B" w:rsidRPr="009F2647" w:rsidRDefault="006A2C1B" w:rsidP="001E4E50">
      <w:pPr>
        <w:spacing w:after="0" w:line="240" w:lineRule="auto"/>
        <w:rPr>
          <w:rFonts w:eastAsia="Tahoma"/>
          <w:i/>
          <w:sz w:val="20"/>
          <w:szCs w:val="20"/>
          <w:highlight w:val="cyan"/>
        </w:rPr>
      </w:pPr>
      <w:r w:rsidRPr="009F2647">
        <w:rPr>
          <w:sz w:val="20"/>
          <w:szCs w:val="20"/>
          <w:vertAlign w:val="superscript"/>
        </w:rPr>
        <w:footnoteRef/>
      </w:r>
      <w:r w:rsidRPr="009F2647">
        <w:rPr>
          <w:rFonts w:eastAsia="Tahoma"/>
          <w:sz w:val="20"/>
          <w:szCs w:val="20"/>
        </w:rPr>
        <w:t xml:space="preserve"> Ontario Human Rights Commission, </w:t>
      </w:r>
      <w:r w:rsidRPr="009F2647">
        <w:rPr>
          <w:rFonts w:eastAsia="Tahoma"/>
          <w:i/>
          <w:sz w:val="20"/>
          <w:szCs w:val="20"/>
        </w:rPr>
        <w:t xml:space="preserve">Human Rights and rental housing in Ontario: Background paper </w:t>
      </w:r>
      <w:r w:rsidRPr="009F2647">
        <w:rPr>
          <w:rFonts w:eastAsia="Tahoma"/>
          <w:sz w:val="20"/>
          <w:szCs w:val="20"/>
        </w:rPr>
        <w:t xml:space="preserve"> (2016) at 50 to 59, available at </w:t>
      </w:r>
      <w:hyperlink r:id="rId8">
        <w:r w:rsidRPr="009F2647">
          <w:rPr>
            <w:rFonts w:eastAsia="Tahoma"/>
            <w:sz w:val="20"/>
            <w:szCs w:val="20"/>
          </w:rPr>
          <w:t>http://www.ohrc.on.ca/sites/default/files/attachments/Human_Rights_and_Rental_Housing_in_Ontario%3A_Background_Paper.pdf</w:t>
        </w:r>
      </w:hyperlink>
      <w:r w:rsidRPr="009F2647">
        <w:rPr>
          <w:rFonts w:eastAsia="Tahoma"/>
          <w:sz w:val="20"/>
          <w:szCs w:val="20"/>
        </w:rPr>
        <w:t xml:space="preserve"> [accessed 3 October 2019]. The OHRC stated:  ... the Supreme Court has affirmed that administrative decision-makers should listen to international bodies and take Canada’s international commitments seriously. Since human rights legislation in Canada has a quasi-constitutional status, international law has a special relationship to human rights codes. The Commission should, therefore, look to international law to expand current understandings of the </w:t>
      </w:r>
      <w:r w:rsidRPr="009F2647">
        <w:rPr>
          <w:rFonts w:eastAsia="Tahoma"/>
          <w:i/>
          <w:sz w:val="20"/>
          <w:szCs w:val="20"/>
        </w:rPr>
        <w:t xml:space="preserve">Code </w:t>
      </w:r>
      <w:r w:rsidRPr="009F2647">
        <w:rPr>
          <w:rFonts w:eastAsia="Tahoma"/>
          <w:sz w:val="20"/>
          <w:szCs w:val="20"/>
        </w:rPr>
        <w:t xml:space="preserve">to include economic, social and cultural rights within its mandate. As the </w:t>
      </w:r>
      <w:r w:rsidRPr="009F2647">
        <w:rPr>
          <w:rFonts w:eastAsia="Tahoma"/>
          <w:i/>
          <w:sz w:val="20"/>
          <w:szCs w:val="20"/>
        </w:rPr>
        <w:t>Universal Declaration</w:t>
      </w:r>
      <w:r w:rsidRPr="009F2647">
        <w:rPr>
          <w:rFonts w:eastAsia="Tahoma"/>
          <w:sz w:val="20"/>
          <w:szCs w:val="20"/>
        </w:rPr>
        <w:t xml:space="preserve"> reminds us, economic, social and cultural rights go to the core of dignity and equality.</w:t>
      </w:r>
    </w:p>
  </w:footnote>
  <w:footnote w:id="24">
    <w:p w14:paraId="145D01E6" w14:textId="77777777" w:rsidR="006A2C1B" w:rsidRPr="009F2647" w:rsidRDefault="006A2C1B" w:rsidP="001E4E50">
      <w:pPr>
        <w:spacing w:after="0" w:line="240" w:lineRule="auto"/>
        <w:rPr>
          <w:rFonts w:eastAsia="Tahoma"/>
          <w:sz w:val="20"/>
          <w:szCs w:val="20"/>
          <w:highlight w:val="yellow"/>
        </w:rPr>
      </w:pPr>
      <w:r w:rsidRPr="009F2647">
        <w:rPr>
          <w:sz w:val="20"/>
          <w:szCs w:val="20"/>
          <w:vertAlign w:val="superscript"/>
        </w:rPr>
        <w:footnoteRef/>
      </w:r>
      <w:r w:rsidRPr="009F2647">
        <w:rPr>
          <w:rFonts w:eastAsia="Tahoma"/>
          <w:sz w:val="20"/>
          <w:szCs w:val="20"/>
        </w:rPr>
        <w:t xml:space="preserve"> See, for example, </w:t>
      </w:r>
      <w:r w:rsidRPr="009F2647">
        <w:rPr>
          <w:rFonts w:eastAsia="Tahoma"/>
          <w:i/>
          <w:sz w:val="20"/>
          <w:szCs w:val="20"/>
        </w:rPr>
        <w:t>R.C. v. District School Board of Niagara</w:t>
      </w:r>
      <w:r w:rsidRPr="009F2647">
        <w:rPr>
          <w:rFonts w:eastAsia="Tahoma"/>
          <w:sz w:val="20"/>
          <w:szCs w:val="20"/>
        </w:rPr>
        <w:t xml:space="preserve">, 2013 HRTO 1382 (CanLII), </w:t>
      </w:r>
      <w:r w:rsidRPr="009F2647">
        <w:rPr>
          <w:rFonts w:eastAsia="Tahoma"/>
          <w:i/>
          <w:sz w:val="20"/>
          <w:szCs w:val="20"/>
        </w:rPr>
        <w:t>Yuill v. Canadian Union of Public Employees</w:t>
      </w:r>
      <w:r w:rsidRPr="009F2647">
        <w:rPr>
          <w:rFonts w:eastAsia="Tahoma"/>
          <w:sz w:val="20"/>
          <w:szCs w:val="20"/>
        </w:rPr>
        <w:t xml:space="preserve">, 2011 HRTO 126 (CanLII), and </w:t>
      </w:r>
      <w:r w:rsidRPr="009F2647">
        <w:rPr>
          <w:rFonts w:eastAsia="Tahoma"/>
          <w:i/>
          <w:sz w:val="20"/>
          <w:szCs w:val="20"/>
        </w:rPr>
        <w:t>Kacan v. Ontario Public Service Employees Union</w:t>
      </w:r>
      <w:r w:rsidRPr="009F2647">
        <w:rPr>
          <w:rFonts w:eastAsia="Tahoma"/>
          <w:sz w:val="20"/>
          <w:szCs w:val="20"/>
        </w:rPr>
        <w:t xml:space="preserve">, 2010 HRTO 795 (CanLII). </w:t>
      </w:r>
    </w:p>
  </w:footnote>
  <w:footnote w:id="25">
    <w:p w14:paraId="29A94F5A"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UN General Assembly, </w:t>
      </w:r>
      <w:r w:rsidRPr="009F2647">
        <w:rPr>
          <w:rFonts w:eastAsia="Tahoma"/>
          <w:i/>
          <w:sz w:val="20"/>
          <w:szCs w:val="20"/>
        </w:rPr>
        <w:t>International Covenant on Economic, Social and Cultural Rights</w:t>
      </w:r>
      <w:r w:rsidRPr="009F2647">
        <w:rPr>
          <w:rFonts w:eastAsia="Tahoma"/>
          <w:sz w:val="20"/>
          <w:szCs w:val="20"/>
        </w:rPr>
        <w:t>, 16 December 1966, United Nations, Treaty Series, vol. 993 (ICESCR).</w:t>
      </w:r>
    </w:p>
  </w:footnote>
  <w:footnote w:id="26">
    <w:p w14:paraId="1BB9049F" w14:textId="77777777" w:rsidR="006A2C1B" w:rsidRPr="0044562D" w:rsidRDefault="006A2C1B">
      <w:pPr>
        <w:pBdr>
          <w:top w:val="nil"/>
          <w:left w:val="nil"/>
          <w:bottom w:val="nil"/>
          <w:right w:val="nil"/>
          <w:between w:val="nil"/>
        </w:pBdr>
        <w:spacing w:after="0" w:line="240" w:lineRule="auto"/>
        <w:rPr>
          <w:sz w:val="20"/>
          <w:szCs w:val="20"/>
        </w:rPr>
      </w:pPr>
      <w:r w:rsidRPr="009F2647">
        <w:rPr>
          <w:sz w:val="20"/>
          <w:szCs w:val="20"/>
          <w:vertAlign w:val="superscript"/>
        </w:rPr>
        <w:footnoteRef/>
      </w:r>
      <w:r w:rsidRPr="009F2647">
        <w:rPr>
          <w:color w:val="000000"/>
          <w:sz w:val="20"/>
          <w:szCs w:val="20"/>
        </w:rPr>
        <w:t xml:space="preserve"> Scott, Craig, and Philip Alston. "Adjudicating Constitutional Priorities in a Transnational Context: A Comment on Soobramoney’s Legacy and Grootboom’s Promise." South African Journal of Human Rights16 (2000): 206-268; See also Craig Scott, “Canada’s International Human Rights Obligations and Disadvantaged Members of Society: Finally into the Spotlight?” Constitutional Forum 10:4 (1999) online </w:t>
      </w:r>
      <w:hyperlink r:id="rId9">
        <w:r w:rsidRPr="0044562D">
          <w:rPr>
            <w:sz w:val="20"/>
            <w:szCs w:val="20"/>
            <w:u w:val="single"/>
          </w:rPr>
          <w:t>https://journals.library.ualberta.ca/constitutional_forum/index.php/constitutional_forum/article/view/12099/9143</w:t>
        </w:r>
      </w:hyperlink>
    </w:p>
  </w:footnote>
  <w:footnote w:id="27">
    <w:p w14:paraId="23F2FB64"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vertAlign w:val="superscript"/>
        </w:rPr>
        <w:t xml:space="preserve"> </w:t>
      </w:r>
      <w:r w:rsidRPr="009F2647">
        <w:rPr>
          <w:rFonts w:eastAsia="Tahoma"/>
          <w:color w:val="000000"/>
          <w:sz w:val="20"/>
          <w:szCs w:val="20"/>
        </w:rPr>
        <w:t>On the reasonableness standard under the ICESCR, see Bruce Porter, “Reasonableness and Article 8(4)” in M Langford, B. Porter, R Brown and J Rossi (eds), </w:t>
      </w:r>
      <w:r w:rsidRPr="009F2647">
        <w:rPr>
          <w:rFonts w:eastAsia="Tahoma"/>
          <w:i/>
          <w:color w:val="000000"/>
          <w:sz w:val="20"/>
          <w:szCs w:val="20"/>
        </w:rPr>
        <w:t>The Optional Protocol to the International Covenant on Economic, Social and Cultural Rights: A Commentary</w:t>
      </w:r>
      <w:r w:rsidRPr="009F2647">
        <w:rPr>
          <w:rFonts w:eastAsia="Tahoma"/>
          <w:color w:val="000000"/>
          <w:sz w:val="20"/>
          <w:szCs w:val="20"/>
        </w:rPr>
        <w:t> (Capetown: Pretoria University Law Press, 2016).</w:t>
      </w:r>
    </w:p>
  </w:footnote>
  <w:footnote w:id="28">
    <w:p w14:paraId="3BA2E493"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rPr>
        <w:t xml:space="preserve"> For a discussion of the application of the international standard of reasonableness under the Charter, see Martha Jackman &amp; Bruce Porter, “Rights Based Strategies to Address Homelessness and Poverty in Canada: The Charter Framework” in Martha Jackman and Bruce Porter (eds), </w:t>
      </w:r>
      <w:hyperlink r:id="rId10">
        <w:r w:rsidRPr="009F2647">
          <w:rPr>
            <w:rFonts w:eastAsia="Tahoma"/>
            <w:i/>
            <w:color w:val="000000"/>
            <w:sz w:val="20"/>
            <w:szCs w:val="20"/>
          </w:rPr>
          <w:t>Advancing Social Rights in Canada</w:t>
        </w:r>
      </w:hyperlink>
      <w:hyperlink r:id="rId11">
        <w:r w:rsidRPr="009F2647">
          <w:rPr>
            <w:rFonts w:eastAsia="Tahoma"/>
            <w:color w:val="000000"/>
            <w:sz w:val="20"/>
            <w:szCs w:val="20"/>
          </w:rPr>
          <w:t> (Toronto: Irwin Law, 2014)</w:t>
        </w:r>
      </w:hyperlink>
    </w:p>
  </w:footnote>
  <w:footnote w:id="29">
    <w:p w14:paraId="7327AC8C"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i/>
          <w:sz w:val="20"/>
          <w:szCs w:val="20"/>
        </w:rPr>
        <w:t>Slaight Communications Inc. v. Davidson</w:t>
      </w:r>
      <w:r w:rsidRPr="009F2647">
        <w:rPr>
          <w:rFonts w:eastAsia="Tahoma"/>
          <w:sz w:val="20"/>
          <w:szCs w:val="20"/>
        </w:rPr>
        <w:t xml:space="preserve"> [1989] 1 SCR 1038 at para 16 (</w:t>
      </w:r>
      <w:r w:rsidRPr="009F2647">
        <w:rPr>
          <w:rFonts w:eastAsia="Tahoma"/>
          <w:i/>
          <w:sz w:val="20"/>
          <w:szCs w:val="20"/>
        </w:rPr>
        <w:t>Slaight Communications</w:t>
      </w:r>
      <w:r w:rsidRPr="009F2647">
        <w:rPr>
          <w:rFonts w:eastAsia="Tahoma"/>
          <w:sz w:val="20"/>
          <w:szCs w:val="20"/>
        </w:rPr>
        <w:t>).</w:t>
      </w:r>
    </w:p>
  </w:footnote>
  <w:footnote w:id="30">
    <w:p w14:paraId="54136C32"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vertAlign w:val="superscript"/>
        </w:rPr>
        <w:t xml:space="preserve"> </w:t>
      </w:r>
      <w:r w:rsidRPr="009F2647">
        <w:rPr>
          <w:rFonts w:eastAsia="Tahoma"/>
          <w:color w:val="000000"/>
          <w:sz w:val="20"/>
          <w:szCs w:val="20"/>
        </w:rPr>
        <w:t>See</w:t>
      </w:r>
      <w:r w:rsidRPr="009F2647">
        <w:rPr>
          <w:rFonts w:eastAsia="Tahoma"/>
          <w:i/>
          <w:color w:val="000000"/>
          <w:sz w:val="20"/>
          <w:szCs w:val="20"/>
        </w:rPr>
        <w:t xml:space="preserve"> Slaight Communications.</w:t>
      </w:r>
    </w:p>
  </w:footnote>
  <w:footnote w:id="31">
    <w:p w14:paraId="082AA564"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Baker</w:t>
      </w:r>
      <w:r w:rsidRPr="009F2647">
        <w:rPr>
          <w:rFonts w:eastAsia="Tahoma"/>
          <w:sz w:val="20"/>
          <w:szCs w:val="20"/>
        </w:rPr>
        <w:t xml:space="preserve"> at paras. 69-71.</w:t>
      </w:r>
    </w:p>
  </w:footnote>
  <w:footnote w:id="32">
    <w:p w14:paraId="67179E08"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vertAlign w:val="superscript"/>
        </w:rPr>
        <w:t xml:space="preserve"> </w:t>
      </w:r>
      <w:r w:rsidRPr="009F2647">
        <w:rPr>
          <w:rFonts w:eastAsia="Tahoma"/>
          <w:i/>
          <w:color w:val="000000"/>
          <w:sz w:val="20"/>
          <w:szCs w:val="20"/>
        </w:rPr>
        <w:t>Baker</w:t>
      </w:r>
      <w:r w:rsidRPr="009F2647">
        <w:rPr>
          <w:rFonts w:eastAsia="Tahoma"/>
          <w:color w:val="000000"/>
          <w:sz w:val="20"/>
          <w:szCs w:val="20"/>
        </w:rPr>
        <w:t xml:space="preserve"> at para. 71.</w:t>
      </w:r>
    </w:p>
  </w:footnote>
  <w:footnote w:id="33">
    <w:p w14:paraId="1016754C"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UN Committee on Economic, Social and Cultural Rights (CESCR), </w:t>
      </w:r>
      <w:r w:rsidRPr="009F2647">
        <w:rPr>
          <w:rFonts w:eastAsia="Tahoma"/>
          <w:i/>
          <w:sz w:val="20"/>
          <w:szCs w:val="20"/>
        </w:rPr>
        <w:t>General Comment No. 7: The right to adequate housing (Art.11.1): forced evictions</w:t>
      </w:r>
      <w:r w:rsidRPr="009F2647">
        <w:rPr>
          <w:rFonts w:eastAsia="Tahoma"/>
          <w:sz w:val="20"/>
          <w:szCs w:val="20"/>
        </w:rPr>
        <w:t xml:space="preserve">, 20 May 1997, E/1998/22, available at: https://www.refworld.org/docid/47a70799d.html [accessed 27 September 2019] at 2 </w:t>
      </w:r>
      <w:r w:rsidRPr="009F2647">
        <w:rPr>
          <w:rFonts w:eastAsia="Tahoma"/>
          <w:i/>
          <w:sz w:val="20"/>
          <w:szCs w:val="20"/>
        </w:rPr>
        <w:t>(General Comment 7)</w:t>
      </w:r>
      <w:r w:rsidRPr="009F2647">
        <w:rPr>
          <w:rFonts w:eastAsia="Tahoma"/>
          <w:sz w:val="20"/>
          <w:szCs w:val="20"/>
        </w:rPr>
        <w:t>.</w:t>
      </w:r>
    </w:p>
  </w:footnote>
  <w:footnote w:id="34">
    <w:p w14:paraId="489E96A9" w14:textId="4BA6B2C3"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i/>
          <w:sz w:val="20"/>
          <w:szCs w:val="20"/>
        </w:rPr>
        <w:t>General Comment 7</w:t>
      </w:r>
      <w:r w:rsidRPr="009F2647">
        <w:rPr>
          <w:rFonts w:eastAsia="Tahoma"/>
          <w:sz w:val="20"/>
          <w:szCs w:val="20"/>
        </w:rPr>
        <w:t xml:space="preserve"> at 2-3; See also Office of the United Nations High Commissioner for Human Rights and UN Habitat, </w:t>
      </w:r>
      <w:r w:rsidRPr="009F2647">
        <w:rPr>
          <w:rFonts w:eastAsia="Tahoma"/>
          <w:i/>
          <w:sz w:val="20"/>
          <w:szCs w:val="20"/>
        </w:rPr>
        <w:t>The Right to Adequate Housing: Fact Sheet No. 21 (Rev. 1)</w:t>
      </w:r>
      <w:r w:rsidRPr="009F2647">
        <w:rPr>
          <w:rFonts w:eastAsia="Tahoma"/>
          <w:sz w:val="20"/>
          <w:szCs w:val="20"/>
        </w:rPr>
        <w:t xml:space="preserve">, November 2009, available at: </w:t>
      </w:r>
      <w:hyperlink r:id="rId12">
        <w:r w:rsidRPr="009F2647">
          <w:rPr>
            <w:rFonts w:eastAsia="Tahoma"/>
            <w:sz w:val="20"/>
            <w:szCs w:val="20"/>
            <w:u w:val="single"/>
          </w:rPr>
          <w:t>https://www.ohchr.org/documents/publications/fs21_rev_1_housing_en.pdf</w:t>
        </w:r>
      </w:hyperlink>
      <w:r w:rsidRPr="009F2647">
        <w:rPr>
          <w:rFonts w:eastAsia="Tahoma"/>
          <w:sz w:val="20"/>
          <w:szCs w:val="20"/>
        </w:rPr>
        <w:t xml:space="preserve">  at 5 (</w:t>
      </w:r>
      <w:r w:rsidRPr="009F2647">
        <w:rPr>
          <w:rFonts w:eastAsia="Tahoma"/>
          <w:i/>
          <w:sz w:val="20"/>
          <w:szCs w:val="20"/>
        </w:rPr>
        <w:t>Fact Sheet</w:t>
      </w:r>
      <w:r w:rsidRPr="009F2647">
        <w:rPr>
          <w:rFonts w:eastAsia="Tahoma"/>
          <w:sz w:val="20"/>
          <w:szCs w:val="20"/>
        </w:rPr>
        <w:t>).</w:t>
      </w:r>
    </w:p>
  </w:footnote>
  <w:footnote w:id="35">
    <w:p w14:paraId="2E22D6DA" w14:textId="77777777" w:rsidR="006A2C1B" w:rsidRPr="009F2647" w:rsidRDefault="006A2C1B" w:rsidP="00E6732D">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In 1976, the United Nations Conference on Human Settlements noted that special attention should be paid to "undertaking major clearance operations”, which “should take place only when conservation and rehabilitation are not feasible and relocation measures are made". Agenda 21 stated that "people should be protected by law against unfair eviction from their homes or land". Report of Habitat: United Nations Conference on Human Settlements, Vancouver, 31 May</w:t>
      </w:r>
      <w:r w:rsidRPr="009F2647">
        <w:rPr>
          <w:rFonts w:ascii="Cambria Math" w:eastAsia="Tahoma" w:hAnsi="Cambria Math" w:cs="Cambria Math"/>
          <w:sz w:val="20"/>
          <w:szCs w:val="20"/>
        </w:rPr>
        <w:t>‑</w:t>
      </w:r>
      <w:r w:rsidRPr="009F2647">
        <w:rPr>
          <w:rFonts w:eastAsia="Tahoma"/>
          <w:sz w:val="20"/>
          <w:szCs w:val="20"/>
        </w:rPr>
        <w:t>11 June 1976 (A/CONF.70/15), chap. II, recommendation B.8, paragraph C (ii); Report of the United Nations Conference on Environment and Development, Rio de Janeiro, 3</w:t>
      </w:r>
      <w:r w:rsidRPr="009F2647">
        <w:rPr>
          <w:rFonts w:ascii="Cambria Math" w:eastAsia="Tahoma" w:hAnsi="Cambria Math" w:cs="Cambria Math"/>
          <w:sz w:val="20"/>
          <w:szCs w:val="20"/>
        </w:rPr>
        <w:t>‑</w:t>
      </w:r>
      <w:r w:rsidRPr="009F2647">
        <w:rPr>
          <w:rFonts w:eastAsia="Tahoma"/>
          <w:sz w:val="20"/>
          <w:szCs w:val="20"/>
        </w:rPr>
        <w:t>14 June 1992, volume I (A/CONF.151/26/Rev.1 (vol. I), annex II, Agenda 21, chapter 7.9 (b)).</w:t>
      </w:r>
    </w:p>
  </w:footnote>
  <w:footnote w:id="36">
    <w:p w14:paraId="099943DD" w14:textId="77777777" w:rsidR="006A2C1B" w:rsidRPr="009F2647" w:rsidRDefault="006A2C1B" w:rsidP="00E6732D">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Report of the Commission on Human Settlements on the work of its eleventh session, Addendum (A/43/8/Add.1) at para 13.</w:t>
      </w:r>
    </w:p>
  </w:footnote>
  <w:footnote w:id="37">
    <w:p w14:paraId="6A65AF41" w14:textId="03907AF2" w:rsidR="006A2C1B" w:rsidRPr="009F2647" w:rsidRDefault="006A2C1B">
      <w:pPr>
        <w:pStyle w:val="FootnoteText"/>
        <w:rPr>
          <w:lang w:val="en-CA"/>
        </w:rPr>
      </w:pPr>
      <w:r w:rsidRPr="009F2647">
        <w:rPr>
          <w:rStyle w:val="FootnoteReference"/>
        </w:rPr>
        <w:footnoteRef/>
      </w:r>
      <w:r w:rsidRPr="009F2647">
        <w:t xml:space="preserve"> </w:t>
      </w:r>
      <w:r w:rsidRPr="009F2647">
        <w:rPr>
          <w:rFonts w:eastAsia="Tahoma"/>
          <w:i/>
        </w:rPr>
        <w:t>Fact Sheet</w:t>
      </w:r>
      <w:r w:rsidRPr="009F2647">
        <w:rPr>
          <w:rFonts w:eastAsia="Tahoma"/>
        </w:rPr>
        <w:t xml:space="preserve"> at 5.</w:t>
      </w:r>
    </w:p>
  </w:footnote>
  <w:footnote w:id="38">
    <w:p w14:paraId="0706B820" w14:textId="0C488AE1" w:rsidR="006A2C1B" w:rsidRPr="0044562D"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Fact Sheet</w:t>
      </w:r>
      <w:r w:rsidRPr="009F2647">
        <w:rPr>
          <w:rFonts w:eastAsia="Tahoma"/>
          <w:sz w:val="20"/>
          <w:szCs w:val="20"/>
        </w:rPr>
        <w:t xml:space="preserve"> at 5; See also </w:t>
      </w:r>
      <w:r w:rsidRPr="009F2647">
        <w:rPr>
          <w:color w:val="3F3F3F"/>
          <w:sz w:val="20"/>
          <w:szCs w:val="20"/>
          <w:shd w:val="clear" w:color="auto" w:fill="FFFFFF"/>
        </w:rPr>
        <w:t xml:space="preserve">UN </w:t>
      </w:r>
      <w:r w:rsidRPr="0044562D">
        <w:rPr>
          <w:sz w:val="20"/>
          <w:szCs w:val="20"/>
          <w:shd w:val="clear" w:color="auto" w:fill="FFFFFF"/>
        </w:rPr>
        <w:t>Commission on Human Rights, </w:t>
      </w:r>
      <w:r w:rsidRPr="0044562D">
        <w:rPr>
          <w:i/>
          <w:iCs/>
          <w:sz w:val="20"/>
          <w:szCs w:val="20"/>
          <w:shd w:val="clear" w:color="auto" w:fill="FFFFFF"/>
        </w:rPr>
        <w:t>Forced evictions</w:t>
      </w:r>
      <w:r w:rsidRPr="0044562D">
        <w:rPr>
          <w:sz w:val="20"/>
          <w:szCs w:val="20"/>
          <w:shd w:val="clear" w:color="auto" w:fill="FFFFFF"/>
        </w:rPr>
        <w:t xml:space="preserve">, 10 March 1993, E/CN.4/RES/1993/77, available at: </w:t>
      </w:r>
      <w:hyperlink r:id="rId13" w:history="1">
        <w:r w:rsidRPr="0044562D">
          <w:rPr>
            <w:rStyle w:val="Hyperlink"/>
            <w:color w:val="auto"/>
            <w:sz w:val="20"/>
            <w:szCs w:val="20"/>
          </w:rPr>
          <w:t>https://www.refworld.org/docid/3b00f0c514.html</w:t>
        </w:r>
      </w:hyperlink>
      <w:r w:rsidRPr="0044562D">
        <w:rPr>
          <w:sz w:val="20"/>
          <w:szCs w:val="20"/>
          <w:shd w:val="clear" w:color="auto" w:fill="FFFFFF"/>
        </w:rPr>
        <w:t>; see also</w:t>
      </w:r>
      <w:r w:rsidRPr="0044562D">
        <w:rPr>
          <w:sz w:val="20"/>
          <w:szCs w:val="20"/>
        </w:rPr>
        <w:t xml:space="preserve"> The Sub-Commission on the Promotion and Protection of Human Rights, </w:t>
      </w:r>
      <w:r w:rsidRPr="0044562D">
        <w:rPr>
          <w:i/>
          <w:iCs/>
          <w:sz w:val="20"/>
          <w:szCs w:val="20"/>
        </w:rPr>
        <w:t>Prohibition of forced evictions: Sub-Commission resolution 2003/17</w:t>
      </w:r>
      <w:r w:rsidRPr="0044562D">
        <w:rPr>
          <w:rFonts w:eastAsia="Tahoma"/>
          <w:iCs/>
          <w:sz w:val="20"/>
          <w:szCs w:val="20"/>
        </w:rPr>
        <w:t>, preamble, available at:</w:t>
      </w:r>
      <w:r w:rsidRPr="0044562D" w:rsidDel="00181ACE">
        <w:rPr>
          <w:rFonts w:eastAsia="Tahoma"/>
          <w:i/>
          <w:sz w:val="20"/>
          <w:szCs w:val="20"/>
        </w:rPr>
        <w:t xml:space="preserve"> </w:t>
      </w:r>
      <w:hyperlink r:id="rId14" w:history="1">
        <w:r w:rsidRPr="0044562D">
          <w:rPr>
            <w:rStyle w:val="Hyperlink"/>
            <w:color w:val="auto"/>
            <w:sz w:val="20"/>
            <w:szCs w:val="20"/>
          </w:rPr>
          <w:t>https://www.refworld.org/pdfid/416407c84.pdf</w:t>
        </w:r>
      </w:hyperlink>
      <w:r w:rsidRPr="0044562D">
        <w:rPr>
          <w:rFonts w:eastAsia="Tahoma"/>
          <w:sz w:val="20"/>
          <w:szCs w:val="20"/>
        </w:rPr>
        <w:t>.</w:t>
      </w:r>
    </w:p>
  </w:footnote>
  <w:footnote w:id="39">
    <w:p w14:paraId="58CF56A6" w14:textId="77777777" w:rsidR="006A2C1B" w:rsidRPr="0044562D" w:rsidRDefault="006A2C1B">
      <w:pPr>
        <w:spacing w:after="0" w:line="240" w:lineRule="auto"/>
        <w:rPr>
          <w:rFonts w:eastAsia="Tahoma"/>
          <w:sz w:val="20"/>
          <w:szCs w:val="20"/>
        </w:rPr>
      </w:pPr>
      <w:r w:rsidRPr="0044562D">
        <w:rPr>
          <w:sz w:val="20"/>
          <w:szCs w:val="20"/>
          <w:vertAlign w:val="superscript"/>
        </w:rPr>
        <w:footnoteRef/>
      </w:r>
      <w:r w:rsidRPr="0044562D">
        <w:rPr>
          <w:rFonts w:eastAsia="Tahoma"/>
          <w:sz w:val="20"/>
          <w:szCs w:val="20"/>
        </w:rPr>
        <w:t xml:space="preserve"> </w:t>
      </w:r>
      <w:r w:rsidRPr="0044562D">
        <w:rPr>
          <w:rFonts w:eastAsia="Tahoma"/>
          <w:i/>
          <w:sz w:val="20"/>
          <w:szCs w:val="20"/>
        </w:rPr>
        <w:t>Fact Sheet</w:t>
      </w:r>
      <w:r w:rsidRPr="0044562D">
        <w:rPr>
          <w:rFonts w:eastAsia="Tahoma"/>
          <w:sz w:val="20"/>
          <w:szCs w:val="20"/>
        </w:rPr>
        <w:t xml:space="preserve"> at 7.</w:t>
      </w:r>
    </w:p>
  </w:footnote>
  <w:footnote w:id="40">
    <w:p w14:paraId="253BF227"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rPr>
        <w:t xml:space="preserve"> </w:t>
      </w:r>
      <w:r w:rsidRPr="009F2647">
        <w:rPr>
          <w:rFonts w:eastAsia="Tahoma"/>
          <w:i/>
          <w:color w:val="000000"/>
          <w:sz w:val="20"/>
          <w:szCs w:val="20"/>
        </w:rPr>
        <w:t xml:space="preserve">General Comment 7 </w:t>
      </w:r>
      <w:r w:rsidRPr="009F2647">
        <w:rPr>
          <w:rFonts w:eastAsia="Tahoma"/>
          <w:color w:val="000000"/>
          <w:sz w:val="20"/>
          <w:szCs w:val="20"/>
        </w:rPr>
        <w:t xml:space="preserve">at 3. </w:t>
      </w:r>
    </w:p>
  </w:footnote>
  <w:footnote w:id="41">
    <w:p w14:paraId="07C57F77" w14:textId="77777777" w:rsidR="006A2C1B" w:rsidRPr="009F2647" w:rsidRDefault="006A2C1B">
      <w:pPr>
        <w:spacing w:after="0" w:line="240" w:lineRule="auto"/>
        <w:rPr>
          <w:rFonts w:eastAsia="Tahoma"/>
          <w:sz w:val="20"/>
          <w:szCs w:val="20"/>
          <w:highlight w:val="yellow"/>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Fact Sheet</w:t>
      </w:r>
      <w:r w:rsidRPr="009F2647">
        <w:rPr>
          <w:rFonts w:eastAsia="Tahoma"/>
          <w:sz w:val="20"/>
          <w:szCs w:val="20"/>
        </w:rPr>
        <w:t xml:space="preserve"> at 10.</w:t>
      </w:r>
    </w:p>
  </w:footnote>
  <w:footnote w:id="42">
    <w:p w14:paraId="3EB79BAC"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General Comment 7</w:t>
      </w:r>
      <w:r w:rsidRPr="009F2647">
        <w:rPr>
          <w:rFonts w:eastAsia="Tahoma"/>
          <w:sz w:val="20"/>
          <w:szCs w:val="20"/>
        </w:rPr>
        <w:t xml:space="preserve"> at 3.</w:t>
      </w:r>
    </w:p>
  </w:footnote>
  <w:footnote w:id="43">
    <w:p w14:paraId="24DBEC1A"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Article 2.2 of the ICESCR states: </w:t>
      </w:r>
      <w:r w:rsidRPr="009F2647">
        <w:rPr>
          <w:rFonts w:eastAsia="Tahoma"/>
          <w:sz w:val="20"/>
          <w:szCs w:val="20"/>
          <w:highlight w:val="white"/>
        </w:rPr>
        <w:t>The States Parties to the present Covenant undertake to guarantee that the rights enunciated in the present Covenant will be exercised without discrimination of any kind as to race, colour, sex, language, religion, political or other opinion, national or social origin, property, birth or other status. Article 3 states: The States Parties to the present Covenant undertake to ensure the equal right of men and women to the enjoyment of all economic, social and cultural rights set forth in the present Covenant.</w:t>
      </w:r>
    </w:p>
  </w:footnote>
  <w:footnote w:id="44">
    <w:p w14:paraId="23FD7A63"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General Comment 7</w:t>
      </w:r>
      <w:r w:rsidRPr="009F2647">
        <w:rPr>
          <w:rFonts w:eastAsia="Tahoma"/>
          <w:sz w:val="20"/>
          <w:szCs w:val="20"/>
        </w:rPr>
        <w:t xml:space="preserve"> at 3. See</w:t>
      </w:r>
      <w:r w:rsidRPr="009F2647">
        <w:rPr>
          <w:rFonts w:eastAsia="Tahoma"/>
          <w:i/>
          <w:sz w:val="20"/>
          <w:szCs w:val="20"/>
        </w:rPr>
        <w:t xml:space="preserve"> </w:t>
      </w:r>
      <w:r w:rsidRPr="009F2647">
        <w:rPr>
          <w:rFonts w:eastAsia="Tahoma"/>
          <w:sz w:val="20"/>
          <w:szCs w:val="20"/>
        </w:rPr>
        <w:t xml:space="preserve">also UN Committee on Economic, Social and Cultural Rights (CESCR), </w:t>
      </w:r>
      <w:r w:rsidRPr="009F2647">
        <w:rPr>
          <w:rFonts w:eastAsia="Tahoma"/>
          <w:i/>
          <w:sz w:val="20"/>
          <w:szCs w:val="20"/>
        </w:rPr>
        <w:t>General Comment No. 4, The Right to Adequate Housing (Art. 11 (1) of the Covenant on Economic, Social and Cultural Rights)</w:t>
      </w:r>
      <w:r w:rsidRPr="009F2647">
        <w:rPr>
          <w:rFonts w:eastAsia="Tahoma"/>
          <w:sz w:val="20"/>
          <w:szCs w:val="20"/>
        </w:rPr>
        <w:t xml:space="preserve">, 13 December 1991, E/1992/23, available at: </w:t>
      </w:r>
      <w:hyperlink r:id="rId15">
        <w:r w:rsidRPr="009F2647">
          <w:rPr>
            <w:rFonts w:eastAsia="Tahoma"/>
            <w:sz w:val="20"/>
            <w:szCs w:val="20"/>
          </w:rPr>
          <w:t>https://www.refworld.org/pdfid/47a7079a1.pdf</w:t>
        </w:r>
      </w:hyperlink>
      <w:r w:rsidRPr="009F2647">
        <w:rPr>
          <w:rFonts w:eastAsia="Tahoma"/>
          <w:sz w:val="20"/>
          <w:szCs w:val="20"/>
        </w:rPr>
        <w:t xml:space="preserve"> [accessed 1 October 2019] at 6 (</w:t>
      </w:r>
      <w:r w:rsidRPr="009F2647">
        <w:rPr>
          <w:rFonts w:eastAsia="Tahoma"/>
          <w:i/>
          <w:sz w:val="20"/>
          <w:szCs w:val="20"/>
        </w:rPr>
        <w:t>General Comment 4)</w:t>
      </w:r>
      <w:r w:rsidRPr="009F2647">
        <w:rPr>
          <w:rFonts w:eastAsia="Tahoma"/>
          <w:sz w:val="20"/>
          <w:szCs w:val="20"/>
        </w:rPr>
        <w:t>. See also Fact Sheet at 5, which states that in the event that relocations or evictions are justifiable, they must be “carried out in a lawful, reasonable and proportional manner, and in accordance with international law”.</w:t>
      </w:r>
    </w:p>
  </w:footnote>
  <w:footnote w:id="45">
    <w:p w14:paraId="4E4CF2BE"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General Comment 7</w:t>
      </w:r>
      <w:r w:rsidRPr="009F2647">
        <w:rPr>
          <w:rFonts w:eastAsia="Tahoma"/>
          <w:sz w:val="20"/>
          <w:szCs w:val="20"/>
        </w:rPr>
        <w:t xml:space="preserve"> at 3.</w:t>
      </w:r>
    </w:p>
  </w:footnote>
  <w:footnote w:id="46">
    <w:p w14:paraId="79094780"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General Comment 7</w:t>
      </w:r>
      <w:r w:rsidRPr="009F2647">
        <w:rPr>
          <w:rFonts w:eastAsia="Tahoma"/>
          <w:sz w:val="20"/>
          <w:szCs w:val="20"/>
        </w:rPr>
        <w:t xml:space="preserve"> at 3.</w:t>
      </w:r>
    </w:p>
  </w:footnote>
  <w:footnote w:id="47">
    <w:p w14:paraId="7408E997"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In </w:t>
      </w:r>
      <w:r w:rsidRPr="009F2647">
        <w:rPr>
          <w:rFonts w:eastAsia="Tahoma"/>
          <w:i/>
          <w:sz w:val="20"/>
          <w:szCs w:val="20"/>
        </w:rPr>
        <w:t>ADGA Group Consultants Inc. v. Lane</w:t>
      </w:r>
      <w:r w:rsidRPr="009F2647">
        <w:rPr>
          <w:rFonts w:eastAsia="Tahoma"/>
          <w:sz w:val="20"/>
          <w:szCs w:val="20"/>
        </w:rPr>
        <w:t>, 2008 CanLII 39605 (ON SCDC), the HRTO held at para 150 that a failure to meet the procedural dimensions of the duty to accommodate is a form of discrimination in itself because it “denies the affected person the benefit of what the law requires: a recognition of the obligation not to discriminate and to act in such a way as to ensure that discrimination does not take place.” The HRTO’s decision was confirmed on appeal: </w:t>
      </w:r>
      <w:r w:rsidRPr="009F2647">
        <w:rPr>
          <w:rFonts w:eastAsia="Tahoma"/>
          <w:i/>
          <w:sz w:val="20"/>
          <w:szCs w:val="20"/>
        </w:rPr>
        <w:t>ADGA Group Consultants Inc. v. Lane</w:t>
      </w:r>
      <w:r w:rsidRPr="009F2647">
        <w:rPr>
          <w:rFonts w:eastAsia="Tahoma"/>
          <w:sz w:val="20"/>
          <w:szCs w:val="20"/>
        </w:rPr>
        <w:t>, 2008 CanLII 39605 (ON SCDC) (</w:t>
      </w:r>
      <w:r w:rsidRPr="009F2647">
        <w:rPr>
          <w:rFonts w:eastAsia="Tahoma"/>
          <w:i/>
          <w:sz w:val="20"/>
          <w:szCs w:val="20"/>
        </w:rPr>
        <w:t>ADGA</w:t>
      </w:r>
      <w:r w:rsidRPr="009F2647">
        <w:rPr>
          <w:rFonts w:eastAsia="Tahoma"/>
          <w:sz w:val="20"/>
          <w:szCs w:val="20"/>
        </w:rPr>
        <w:t>). See also </w:t>
      </w:r>
      <w:r w:rsidRPr="009F2647">
        <w:rPr>
          <w:rFonts w:eastAsia="Tahoma"/>
          <w:i/>
          <w:sz w:val="20"/>
          <w:szCs w:val="20"/>
        </w:rPr>
        <w:t>Lee v. Kawartha Pine Ridge District School Board</w:t>
      </w:r>
      <w:r w:rsidRPr="009F2647">
        <w:rPr>
          <w:rFonts w:eastAsia="Tahoma"/>
          <w:sz w:val="20"/>
          <w:szCs w:val="20"/>
        </w:rPr>
        <w:t>, 2014 HRTO 1212 (CanLII).</w:t>
      </w:r>
    </w:p>
  </w:footnote>
  <w:footnote w:id="48">
    <w:p w14:paraId="14F63BDF"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 xml:space="preserve">ADGA </w:t>
      </w:r>
      <w:r w:rsidRPr="009F2647">
        <w:rPr>
          <w:rFonts w:eastAsia="Tahoma"/>
          <w:sz w:val="20"/>
          <w:szCs w:val="20"/>
        </w:rPr>
        <w:t xml:space="preserve"> at para 107; see also </w:t>
      </w:r>
      <w:r w:rsidRPr="009F2647">
        <w:rPr>
          <w:rFonts w:eastAsia="Tahoma"/>
          <w:i/>
          <w:sz w:val="20"/>
          <w:szCs w:val="20"/>
        </w:rPr>
        <w:t>Gaisiner v. Method Integration Inc.</w:t>
      </w:r>
      <w:r w:rsidRPr="009F2647">
        <w:rPr>
          <w:rFonts w:eastAsia="Tahoma"/>
          <w:sz w:val="20"/>
          <w:szCs w:val="20"/>
        </w:rPr>
        <w:t>, 2014 HRTO 1718 (CanLII) at para 149.</w:t>
      </w:r>
    </w:p>
  </w:footnote>
  <w:footnote w:id="49">
    <w:p w14:paraId="17B64065" w14:textId="77777777" w:rsidR="006A2C1B" w:rsidRPr="009F2647" w:rsidRDefault="006A2C1B">
      <w:pPr>
        <w:spacing w:after="0" w:line="240" w:lineRule="auto"/>
        <w:rPr>
          <w:rFonts w:eastAsia="Tahoma"/>
          <w:b/>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M.B.D. and others v. Spain</w:t>
      </w:r>
      <w:r w:rsidRPr="009F2647">
        <w:rPr>
          <w:rFonts w:eastAsia="Tahoma"/>
          <w:sz w:val="20"/>
          <w:szCs w:val="20"/>
        </w:rPr>
        <w:t xml:space="preserve"> (Communication No. 5/2015) [5.07.2017] CESCR at 10.</w:t>
      </w:r>
    </w:p>
  </w:footnote>
  <w:footnote w:id="50">
    <w:p w14:paraId="090CBEBE" w14:textId="77777777" w:rsidR="006A2C1B" w:rsidRPr="009F2647" w:rsidRDefault="006A2C1B" w:rsidP="00116908">
      <w:pPr>
        <w:spacing w:after="0" w:line="240" w:lineRule="auto"/>
        <w:rPr>
          <w:rFonts w:eastAsia="Tahoma"/>
          <w:sz w:val="20"/>
          <w:szCs w:val="20"/>
        </w:rPr>
      </w:pPr>
      <w:r w:rsidRPr="009F2647">
        <w:rPr>
          <w:sz w:val="20"/>
          <w:szCs w:val="20"/>
          <w:vertAlign w:val="superscript"/>
        </w:rPr>
        <w:footnoteRef/>
      </w:r>
      <w:r w:rsidRPr="009F2647">
        <w:rPr>
          <w:rFonts w:eastAsia="Tahoma"/>
          <w:i/>
          <w:sz w:val="20"/>
          <w:szCs w:val="20"/>
        </w:rPr>
        <w:t xml:space="preserve"> Fact Sheet</w:t>
      </w:r>
      <w:r w:rsidRPr="009F2647">
        <w:rPr>
          <w:rFonts w:eastAsia="Tahoma"/>
          <w:sz w:val="20"/>
          <w:szCs w:val="20"/>
        </w:rPr>
        <w:t xml:space="preserve"> at 7.</w:t>
      </w:r>
    </w:p>
  </w:footnote>
  <w:footnote w:id="51">
    <w:p w14:paraId="45D12035" w14:textId="77777777" w:rsidR="006A2C1B" w:rsidRPr="009F2647" w:rsidRDefault="006A2C1B">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Human Rights Code</w:t>
      </w:r>
      <w:r w:rsidRPr="009F2647">
        <w:rPr>
          <w:rFonts w:eastAsia="Tahoma"/>
          <w:sz w:val="20"/>
          <w:szCs w:val="20"/>
        </w:rPr>
        <w:t>, R.S.O. 1990, c. H.19 at section 11(2).</w:t>
      </w:r>
    </w:p>
  </w:footnote>
  <w:footnote w:id="52">
    <w:p w14:paraId="02CD6FF8" w14:textId="77777777" w:rsidR="006A2C1B" w:rsidRPr="009F2647" w:rsidRDefault="006A2C1B">
      <w:pPr>
        <w:pBdr>
          <w:top w:val="nil"/>
          <w:left w:val="nil"/>
          <w:bottom w:val="nil"/>
          <w:right w:val="nil"/>
          <w:between w:val="nil"/>
        </w:pBdr>
        <w:spacing w:after="0" w:line="240" w:lineRule="auto"/>
        <w:rPr>
          <w:rFonts w:eastAsia="Tahoma"/>
          <w:sz w:val="20"/>
          <w:szCs w:val="20"/>
        </w:rPr>
      </w:pPr>
      <w:r w:rsidRPr="009F2647">
        <w:rPr>
          <w:sz w:val="20"/>
          <w:szCs w:val="20"/>
          <w:vertAlign w:val="superscript"/>
        </w:rPr>
        <w:footnoteRef/>
      </w:r>
      <w:r w:rsidRPr="009F2647">
        <w:rPr>
          <w:rFonts w:eastAsia="Tahoma"/>
          <w:i/>
          <w:sz w:val="20"/>
          <w:szCs w:val="20"/>
        </w:rPr>
        <w:t>Renaud v. Central Okanagan School District No. 23</w:t>
      </w:r>
      <w:r w:rsidRPr="009F2647">
        <w:rPr>
          <w:rFonts w:eastAsia="Tahoma"/>
          <w:sz w:val="20"/>
          <w:szCs w:val="20"/>
        </w:rPr>
        <w:t xml:space="preserve"> (1992), 16 C.H.R.R. D/425 (S.C.C.) at paras 24-28, (rejecting American "de minimis" standard stated in </w:t>
      </w:r>
      <w:r w:rsidRPr="009F2647">
        <w:rPr>
          <w:rFonts w:eastAsia="Tahoma"/>
          <w:i/>
          <w:sz w:val="20"/>
          <w:szCs w:val="20"/>
        </w:rPr>
        <w:t>Trans World Airlines Inc. v. Hardison</w:t>
      </w:r>
      <w:r w:rsidRPr="009F2647">
        <w:rPr>
          <w:rFonts w:eastAsia="Tahoma"/>
          <w:sz w:val="20"/>
          <w:szCs w:val="20"/>
        </w:rPr>
        <w:t xml:space="preserve"> (1977), 432 U.S. 63 (U.S. Sup. Ct.)).</w:t>
      </w:r>
    </w:p>
  </w:footnote>
  <w:footnote w:id="53">
    <w:p w14:paraId="1E4D20FD" w14:textId="77777777" w:rsidR="006A2C1B" w:rsidRPr="009F2647" w:rsidRDefault="006A2C1B">
      <w:pPr>
        <w:pBdr>
          <w:top w:val="nil"/>
          <w:left w:val="nil"/>
          <w:bottom w:val="nil"/>
          <w:right w:val="nil"/>
          <w:between w:val="nil"/>
        </w:pBd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w:t>
      </w:r>
      <w:r w:rsidRPr="009F2647">
        <w:rPr>
          <w:rFonts w:eastAsia="Tahoma"/>
          <w:i/>
          <w:color w:val="000000"/>
          <w:sz w:val="20"/>
          <w:szCs w:val="20"/>
        </w:rPr>
        <w:t>M.B.D. and others v. Spain</w:t>
      </w:r>
      <w:r w:rsidRPr="009F2647">
        <w:rPr>
          <w:rFonts w:eastAsia="Tahoma"/>
          <w:color w:val="000000"/>
          <w:sz w:val="20"/>
          <w:szCs w:val="20"/>
        </w:rPr>
        <w:t xml:space="preserve"> (Communication No. 5/2015) paras 15.1-15.2.</w:t>
      </w:r>
    </w:p>
  </w:footnote>
  <w:footnote w:id="54">
    <w:p w14:paraId="0FF73D9E"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UN General Assembly, </w:t>
      </w:r>
      <w:r w:rsidRPr="009F2647">
        <w:rPr>
          <w:rFonts w:eastAsia="Tahoma"/>
          <w:i/>
          <w:sz w:val="20"/>
          <w:szCs w:val="20"/>
        </w:rPr>
        <w:t>UNGA, Report of the Special Rapporteur A/73/310/Rev.1 on adequate housing as a component of the right to an adequate standard of living, and on the right to non-discrimination in this context</w:t>
      </w:r>
      <w:r w:rsidRPr="009F2647">
        <w:rPr>
          <w:rFonts w:eastAsia="Tahoma"/>
          <w:sz w:val="20"/>
          <w:szCs w:val="20"/>
        </w:rPr>
        <w:t xml:space="preserve">, 18 September 2018, A/73/310/Rev.1, available at: </w:t>
      </w:r>
      <w:hyperlink r:id="rId16">
        <w:r w:rsidRPr="009F2647">
          <w:rPr>
            <w:rFonts w:eastAsia="Tahoma"/>
            <w:sz w:val="20"/>
            <w:szCs w:val="20"/>
          </w:rPr>
          <w:t>http://www.unhousingrapp.org/user/pages/04.resources/A-73-301-Rev1p.pdf</w:t>
        </w:r>
      </w:hyperlink>
      <w:r w:rsidRPr="009F2647">
        <w:rPr>
          <w:rFonts w:eastAsia="Tahoma"/>
          <w:sz w:val="20"/>
          <w:szCs w:val="20"/>
        </w:rPr>
        <w:t xml:space="preserve"> [accessed 1 October 2019] at 8 </w:t>
      </w:r>
      <w:r w:rsidRPr="009F2647">
        <w:rPr>
          <w:rFonts w:eastAsia="Tahoma"/>
          <w:i/>
          <w:sz w:val="20"/>
          <w:szCs w:val="20"/>
        </w:rPr>
        <w:t>(UNGA, Report of the Special Rapporteur A/73/310/Rev.1)</w:t>
      </w:r>
      <w:r w:rsidRPr="009F2647">
        <w:rPr>
          <w:rFonts w:eastAsia="Tahoma"/>
          <w:sz w:val="20"/>
          <w:szCs w:val="20"/>
        </w:rPr>
        <w:t>.</w:t>
      </w:r>
    </w:p>
  </w:footnote>
  <w:footnote w:id="55">
    <w:p w14:paraId="1B038741"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UNGA, Report of the Special Rapporteur A/73/310/Rev.1</w:t>
      </w:r>
      <w:r w:rsidRPr="009F2647">
        <w:rPr>
          <w:rFonts w:eastAsia="Tahoma"/>
          <w:sz w:val="20"/>
          <w:szCs w:val="20"/>
        </w:rPr>
        <w:t xml:space="preserve"> at 8 to 9. See also guiding principles on security of tenure.</w:t>
      </w:r>
    </w:p>
  </w:footnote>
  <w:footnote w:id="56">
    <w:p w14:paraId="71688C92" w14:textId="77777777" w:rsidR="006A2C1B" w:rsidRPr="009F2647" w:rsidRDefault="006A2C1B">
      <w:pPr>
        <w:pBdr>
          <w:top w:val="nil"/>
          <w:left w:val="nil"/>
          <w:bottom w:val="nil"/>
          <w:right w:val="nil"/>
          <w:between w:val="nil"/>
        </w:pBd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w:t>
      </w:r>
      <w:r w:rsidRPr="009F2647">
        <w:rPr>
          <w:rFonts w:eastAsia="Tahoma"/>
          <w:i/>
          <w:color w:val="000000"/>
          <w:sz w:val="20"/>
          <w:szCs w:val="20"/>
        </w:rPr>
        <w:t>General Comment 7</w:t>
      </w:r>
      <w:r w:rsidRPr="009F2647">
        <w:rPr>
          <w:rFonts w:eastAsia="Tahoma"/>
          <w:color w:val="000000"/>
          <w:sz w:val="20"/>
          <w:szCs w:val="20"/>
        </w:rPr>
        <w:t xml:space="preserve"> at 1.</w:t>
      </w:r>
    </w:p>
  </w:footnote>
  <w:footnote w:id="57">
    <w:p w14:paraId="52E5B393"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See, for example, High Court of South Africa, </w:t>
      </w:r>
      <w:r w:rsidRPr="009F2647">
        <w:rPr>
          <w:rFonts w:eastAsia="Tahoma"/>
          <w:i/>
          <w:sz w:val="20"/>
          <w:szCs w:val="20"/>
        </w:rPr>
        <w:t>Mohau Melani and Others v. City of Johannesburg and Others</w:t>
      </w:r>
      <w:r w:rsidRPr="009F2647">
        <w:rPr>
          <w:rFonts w:eastAsia="Tahoma"/>
          <w:sz w:val="20"/>
          <w:szCs w:val="20"/>
        </w:rPr>
        <w:t xml:space="preserve">, Case No. 02752/2014, 22 March 2016; COMISSÃO DE AMBIENTE, ORDENAMENTO DO TERRITÓRIO, DESCENTRALIZAÇÃO, PODER LOCAL E HABITAÇÃO, Lei n.º 83/2019 de 3 de Setembro, Diário da República, 1.ª série-N.º 168 -3 de setembro de 2019 -Pág. 11 a 33, at articles 10, 13, 14; and </w:t>
      </w:r>
      <w:r w:rsidRPr="009F2647">
        <w:rPr>
          <w:rFonts w:eastAsia="Tahoma"/>
          <w:i/>
          <w:sz w:val="20"/>
          <w:szCs w:val="20"/>
        </w:rPr>
        <w:t>Constitution of Kenya, 2010</w:t>
      </w:r>
      <w:r w:rsidRPr="009F2647">
        <w:rPr>
          <w:rFonts w:eastAsia="Tahoma"/>
          <w:sz w:val="20"/>
          <w:szCs w:val="20"/>
        </w:rPr>
        <w:t xml:space="preserve"> at s. 43(1)(b) [Portugal Housing Basic Law].</w:t>
      </w:r>
    </w:p>
  </w:footnote>
  <w:footnote w:id="58">
    <w:p w14:paraId="5126F607"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rPr>
        <w:t xml:space="preserve"> </w:t>
      </w:r>
      <w:r w:rsidRPr="009F2647">
        <w:rPr>
          <w:rFonts w:eastAsia="Tahoma"/>
          <w:i/>
          <w:iCs/>
          <w:color w:val="000000"/>
          <w:sz w:val="20"/>
          <w:szCs w:val="20"/>
        </w:rPr>
        <w:t>Basic Principles and Guidelines</w:t>
      </w:r>
      <w:r w:rsidRPr="009F2647">
        <w:rPr>
          <w:rFonts w:eastAsia="Tahoma"/>
          <w:color w:val="000000"/>
          <w:sz w:val="20"/>
          <w:szCs w:val="20"/>
        </w:rPr>
        <w:t xml:space="preserve"> at para 40.</w:t>
      </w:r>
    </w:p>
  </w:footnote>
  <w:footnote w:id="59">
    <w:p w14:paraId="5EB94C66"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 xml:space="preserve">General Comment 7 </w:t>
      </w:r>
      <w:r w:rsidRPr="009F2647">
        <w:rPr>
          <w:rFonts w:eastAsia="Tahoma"/>
          <w:sz w:val="20"/>
          <w:szCs w:val="20"/>
        </w:rPr>
        <w:t>at 4.</w:t>
      </w:r>
    </w:p>
  </w:footnote>
  <w:footnote w:id="60">
    <w:p w14:paraId="05B4C770"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rPr>
        <w:t xml:space="preserve"> </w:t>
      </w:r>
      <w:r w:rsidRPr="009F2647">
        <w:rPr>
          <w:rFonts w:eastAsia="Tahoma"/>
          <w:i/>
          <w:iCs/>
          <w:color w:val="000000"/>
          <w:sz w:val="20"/>
          <w:szCs w:val="20"/>
        </w:rPr>
        <w:t>Basic Principles and Guidelines</w:t>
      </w:r>
      <w:r w:rsidRPr="009F2647">
        <w:rPr>
          <w:rFonts w:eastAsia="Tahoma"/>
          <w:color w:val="000000"/>
          <w:sz w:val="20"/>
          <w:szCs w:val="20"/>
        </w:rPr>
        <w:t xml:space="preserve"> at para 43.</w:t>
      </w:r>
    </w:p>
  </w:footnote>
  <w:footnote w:id="61">
    <w:p w14:paraId="0353DA20" w14:textId="56049B99"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See, for example, </w:t>
      </w:r>
      <w:r w:rsidRPr="009F2647">
        <w:rPr>
          <w:rFonts w:eastAsia="Tahoma"/>
          <w:i/>
          <w:sz w:val="20"/>
          <w:szCs w:val="20"/>
        </w:rPr>
        <w:t>UNGA, Report of the Special Rapporteur A/73/310/Rev.1</w:t>
      </w:r>
      <w:r w:rsidRPr="009F2647">
        <w:rPr>
          <w:rFonts w:eastAsia="Tahoma"/>
          <w:sz w:val="20"/>
          <w:szCs w:val="20"/>
        </w:rPr>
        <w:t xml:space="preserve"> at 6 to 7; see also </w:t>
      </w:r>
      <w:r w:rsidRPr="009F2647">
        <w:rPr>
          <w:rFonts w:eastAsia="Tahoma"/>
          <w:i/>
          <w:sz w:val="20"/>
          <w:szCs w:val="20"/>
        </w:rPr>
        <w:t>M.D.B. v. Spain</w:t>
      </w:r>
      <w:r w:rsidRPr="009F2647">
        <w:rPr>
          <w:rFonts w:eastAsia="Tahoma"/>
          <w:sz w:val="20"/>
          <w:szCs w:val="20"/>
        </w:rPr>
        <w:t xml:space="preserve"> E/C.12/61/D/5/2015 at para 15.1</w:t>
      </w:r>
    </w:p>
  </w:footnote>
  <w:footnote w:id="62">
    <w:p w14:paraId="3B069488" w14:textId="59BF0B6D" w:rsidR="006A2C1B" w:rsidRPr="009F2647" w:rsidRDefault="006A2C1B">
      <w:pPr>
        <w:pStyle w:val="FootnoteText"/>
        <w:rPr>
          <w:lang w:val="en-CA"/>
        </w:rPr>
      </w:pPr>
      <w:r w:rsidRPr="009F2647">
        <w:rPr>
          <w:rStyle w:val="FootnoteReference"/>
        </w:rPr>
        <w:footnoteRef/>
      </w:r>
      <w:r w:rsidRPr="009F2647">
        <w:t xml:space="preserve"> </w:t>
      </w:r>
      <w:r w:rsidRPr="009F2647">
        <w:rPr>
          <w:rFonts w:eastAsia="Tahoma"/>
          <w:i/>
        </w:rPr>
        <w:t>M.D.B. v. Spain</w:t>
      </w:r>
      <w:r w:rsidRPr="009F2647">
        <w:rPr>
          <w:rFonts w:eastAsia="Tahoma"/>
        </w:rPr>
        <w:t xml:space="preserve"> E/C.12/61/D/5/2015 at para 13.4.</w:t>
      </w:r>
    </w:p>
  </w:footnote>
  <w:footnote w:id="63">
    <w:p w14:paraId="42E3A736"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See, for example, </w:t>
      </w:r>
      <w:r w:rsidRPr="009F2647">
        <w:rPr>
          <w:rFonts w:eastAsia="Tahoma"/>
          <w:i/>
          <w:sz w:val="20"/>
          <w:szCs w:val="20"/>
        </w:rPr>
        <w:t>UNGA, Report of the Special Rapporteur A/73/310/Rev.1</w:t>
      </w:r>
      <w:r w:rsidRPr="009F2647">
        <w:rPr>
          <w:rFonts w:eastAsia="Tahoma"/>
          <w:sz w:val="20"/>
          <w:szCs w:val="20"/>
        </w:rPr>
        <w:t xml:space="preserve"> at 9.</w:t>
      </w:r>
    </w:p>
  </w:footnote>
  <w:footnote w:id="64">
    <w:p w14:paraId="32929531"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rPr>
        <w:t xml:space="preserve"> </w:t>
      </w:r>
      <w:r w:rsidRPr="009F2647">
        <w:rPr>
          <w:rFonts w:eastAsia="Tahoma"/>
          <w:i/>
          <w:iCs/>
          <w:color w:val="000000"/>
          <w:sz w:val="20"/>
          <w:szCs w:val="20"/>
        </w:rPr>
        <w:t>Basic Principles and Guidelines</w:t>
      </w:r>
      <w:r w:rsidRPr="009F2647">
        <w:rPr>
          <w:rFonts w:eastAsia="Tahoma"/>
          <w:color w:val="000000"/>
          <w:sz w:val="20"/>
          <w:szCs w:val="20"/>
        </w:rPr>
        <w:t xml:space="preserve"> at para 37.</w:t>
      </w:r>
    </w:p>
  </w:footnote>
  <w:footnote w:id="65">
    <w:p w14:paraId="3C7249B9"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rPr>
        <w:t xml:space="preserve"> </w:t>
      </w:r>
      <w:r w:rsidRPr="009F2647">
        <w:rPr>
          <w:rFonts w:eastAsia="Tahoma"/>
          <w:i/>
          <w:iCs/>
          <w:color w:val="000000"/>
          <w:sz w:val="20"/>
          <w:szCs w:val="20"/>
        </w:rPr>
        <w:t>Basic Principles and Guidelines</w:t>
      </w:r>
      <w:r w:rsidRPr="009F2647">
        <w:rPr>
          <w:rFonts w:eastAsia="Tahoma"/>
          <w:color w:val="000000"/>
          <w:sz w:val="20"/>
          <w:szCs w:val="20"/>
        </w:rPr>
        <w:t xml:space="preserve"> at para 38.</w:t>
      </w:r>
    </w:p>
  </w:footnote>
  <w:footnote w:id="66">
    <w:p w14:paraId="07831EA5"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rPr>
        <w:t xml:space="preserve"> Basic Principles and Guidelines at para 38.</w:t>
      </w:r>
    </w:p>
  </w:footnote>
  <w:footnote w:id="67">
    <w:p w14:paraId="4C3B4AA6"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rPr>
        <w:t xml:space="preserve"> Basic Principles and Guidelines at para 41.</w:t>
      </w:r>
    </w:p>
  </w:footnote>
  <w:footnote w:id="68">
    <w:p w14:paraId="19ABB0AD"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See </w:t>
      </w:r>
      <w:r w:rsidRPr="009F2647">
        <w:rPr>
          <w:rFonts w:eastAsia="Tahoma"/>
          <w:i/>
          <w:sz w:val="20"/>
          <w:szCs w:val="20"/>
        </w:rPr>
        <w:t>UNGA, Report of the Special Rapporteur A/73/310/Rev.1</w:t>
      </w:r>
      <w:r w:rsidRPr="009F2647">
        <w:rPr>
          <w:rFonts w:eastAsia="Tahoma"/>
          <w:sz w:val="20"/>
          <w:szCs w:val="20"/>
        </w:rPr>
        <w:t xml:space="preserve"> at 16 to 18.</w:t>
      </w:r>
    </w:p>
  </w:footnote>
  <w:footnote w:id="69">
    <w:p w14:paraId="6AA5A5AD" w14:textId="77777777" w:rsidR="006A2C1B" w:rsidRPr="009F2647" w:rsidRDefault="006A2C1B">
      <w:pPr>
        <w:pBdr>
          <w:top w:val="nil"/>
          <w:left w:val="nil"/>
          <w:bottom w:val="nil"/>
          <w:right w:val="nil"/>
          <w:between w:val="nil"/>
        </w:pBd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CESCR, General Comment 4.</w:t>
      </w:r>
    </w:p>
  </w:footnote>
  <w:footnote w:id="70">
    <w:p w14:paraId="6FD1CCF7" w14:textId="77777777" w:rsidR="006A2C1B" w:rsidRPr="009F2647" w:rsidRDefault="006A2C1B">
      <w:pPr>
        <w:pBdr>
          <w:top w:val="nil"/>
          <w:left w:val="nil"/>
          <w:bottom w:val="nil"/>
          <w:right w:val="nil"/>
          <w:between w:val="nil"/>
        </w:pBd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w:t>
      </w:r>
      <w:r w:rsidRPr="009F2647">
        <w:rPr>
          <w:rFonts w:eastAsia="Tahoma"/>
          <w:i/>
          <w:color w:val="000000"/>
          <w:sz w:val="20"/>
          <w:szCs w:val="20"/>
        </w:rPr>
        <w:t>UNGA, Report of the Special Rapporteur A/73/310/Rev.1</w:t>
      </w:r>
    </w:p>
  </w:footnote>
  <w:footnote w:id="71">
    <w:p w14:paraId="5EB107E1" w14:textId="77777777" w:rsidR="006A2C1B" w:rsidRPr="009F2647" w:rsidRDefault="006A2C1B">
      <w:pPr>
        <w:pBdr>
          <w:top w:val="nil"/>
          <w:left w:val="nil"/>
          <w:bottom w:val="nil"/>
          <w:right w:val="nil"/>
          <w:between w:val="nil"/>
        </w:pBd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w:t>
      </w:r>
      <w:r w:rsidRPr="009F2647">
        <w:rPr>
          <w:rFonts w:eastAsia="Tahoma"/>
          <w:i/>
          <w:color w:val="000000"/>
          <w:sz w:val="20"/>
          <w:szCs w:val="20"/>
        </w:rPr>
        <w:t>UNGA, Report of the Special Rapporteur A/73/310/Rev.1</w:t>
      </w:r>
    </w:p>
  </w:footnote>
  <w:footnote w:id="72">
    <w:p w14:paraId="48882F29" w14:textId="77777777" w:rsidR="006A2C1B" w:rsidRPr="009F2647" w:rsidRDefault="006A2C1B">
      <w:pPr>
        <w:pBdr>
          <w:top w:val="nil"/>
          <w:left w:val="nil"/>
          <w:bottom w:val="nil"/>
          <w:right w:val="nil"/>
          <w:between w:val="nil"/>
        </w:pBd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w:t>
      </w:r>
      <w:r w:rsidRPr="009F2647">
        <w:rPr>
          <w:rFonts w:eastAsia="Tahoma"/>
          <w:i/>
          <w:color w:val="000000"/>
          <w:sz w:val="20"/>
          <w:szCs w:val="20"/>
        </w:rPr>
        <w:t>UNGA, Report of the Special Rapporteur A/73/310/Rev.1</w:t>
      </w:r>
      <w:r w:rsidRPr="009F2647">
        <w:rPr>
          <w:rFonts w:eastAsia="Tahoma"/>
          <w:color w:val="000000"/>
          <w:sz w:val="20"/>
          <w:szCs w:val="20"/>
        </w:rPr>
        <w:t xml:space="preserve"> at 51.</w:t>
      </w:r>
    </w:p>
  </w:footnote>
  <w:footnote w:id="73">
    <w:p w14:paraId="2B860B5E" w14:textId="77777777" w:rsidR="006A2C1B" w:rsidRPr="009F2647" w:rsidRDefault="006A2C1B">
      <w:pPr>
        <w:pBdr>
          <w:top w:val="nil"/>
          <w:left w:val="nil"/>
          <w:bottom w:val="nil"/>
          <w:right w:val="nil"/>
          <w:between w:val="nil"/>
        </w:pBd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Committee on Economic, Social and Cultural Rights, general comment No. 4.</w:t>
      </w:r>
    </w:p>
  </w:footnote>
  <w:footnote w:id="74">
    <w:p w14:paraId="506ED5F6"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 xml:space="preserve">Ibid </w:t>
      </w:r>
      <w:r w:rsidRPr="009F2647">
        <w:rPr>
          <w:rFonts w:eastAsia="Tahoma"/>
          <w:sz w:val="20"/>
          <w:szCs w:val="20"/>
        </w:rPr>
        <w:t>at 4.</w:t>
      </w:r>
    </w:p>
  </w:footnote>
  <w:footnote w:id="75">
    <w:p w14:paraId="47131CC7" w14:textId="77777777" w:rsidR="006A2C1B" w:rsidRPr="009F2647" w:rsidRDefault="006A2C1B">
      <w:pPr>
        <w:pBdr>
          <w:top w:val="nil"/>
          <w:left w:val="nil"/>
          <w:bottom w:val="nil"/>
          <w:right w:val="nil"/>
          <w:between w:val="nil"/>
        </w:pBd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w:t>
      </w:r>
      <w:r w:rsidRPr="009F2647">
        <w:rPr>
          <w:rFonts w:eastAsia="Tahoma"/>
          <w:i/>
          <w:color w:val="000000"/>
          <w:sz w:val="20"/>
          <w:szCs w:val="20"/>
        </w:rPr>
        <w:t>UNGA, Report of the Special Rapporteur A/73/310/Rev.1</w:t>
      </w:r>
      <w:r w:rsidRPr="009F2647">
        <w:rPr>
          <w:rFonts w:eastAsia="Tahoma"/>
          <w:color w:val="000000"/>
          <w:sz w:val="20"/>
          <w:szCs w:val="20"/>
        </w:rPr>
        <w:t xml:space="preserve"> at para 21.</w:t>
      </w:r>
    </w:p>
  </w:footnote>
  <w:footnote w:id="76">
    <w:p w14:paraId="4343D309" w14:textId="77777777" w:rsidR="006A2C1B" w:rsidRPr="009F2647" w:rsidRDefault="006A2C1B">
      <w:pPr>
        <w:pBdr>
          <w:top w:val="nil"/>
          <w:left w:val="nil"/>
          <w:bottom w:val="nil"/>
          <w:right w:val="nil"/>
          <w:between w:val="nil"/>
        </w:pBdr>
        <w:spacing w:after="0" w:line="240" w:lineRule="auto"/>
        <w:rPr>
          <w:color w:val="000000"/>
          <w:sz w:val="20"/>
          <w:szCs w:val="20"/>
        </w:rPr>
      </w:pPr>
      <w:r w:rsidRPr="009F2647">
        <w:rPr>
          <w:sz w:val="20"/>
          <w:szCs w:val="20"/>
          <w:vertAlign w:val="superscript"/>
        </w:rPr>
        <w:footnoteRef/>
      </w:r>
      <w:r w:rsidRPr="009F2647">
        <w:rPr>
          <w:color w:val="000000"/>
          <w:sz w:val="20"/>
          <w:szCs w:val="20"/>
        </w:rPr>
        <w:t xml:space="preserve"> </w:t>
      </w:r>
      <w:r w:rsidRPr="009F2647">
        <w:rPr>
          <w:rFonts w:eastAsia="Tahoma"/>
          <w:color w:val="000000"/>
          <w:sz w:val="20"/>
          <w:szCs w:val="20"/>
        </w:rPr>
        <w:t xml:space="preserve">See </w:t>
      </w:r>
      <w:r w:rsidRPr="009F2647">
        <w:rPr>
          <w:rFonts w:eastAsia="Tahoma"/>
          <w:i/>
          <w:color w:val="000000"/>
          <w:sz w:val="20"/>
          <w:szCs w:val="20"/>
        </w:rPr>
        <w:t>UNGA, Report of the Special Rapporteur A/73/310/Rev.1</w:t>
      </w:r>
      <w:r w:rsidRPr="009F2647">
        <w:rPr>
          <w:rFonts w:eastAsia="Tahoma"/>
          <w:color w:val="000000"/>
          <w:sz w:val="20"/>
          <w:szCs w:val="20"/>
        </w:rPr>
        <w:t xml:space="preserve"> at 48.</w:t>
      </w:r>
    </w:p>
  </w:footnote>
  <w:footnote w:id="77">
    <w:p w14:paraId="1C03EAD2"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rPr>
        <w:t xml:space="preserve"> </w:t>
      </w:r>
      <w:r w:rsidRPr="009F2647">
        <w:rPr>
          <w:rFonts w:eastAsia="Tahoma"/>
          <w:i/>
          <w:color w:val="000000"/>
          <w:sz w:val="20"/>
          <w:szCs w:val="20"/>
        </w:rPr>
        <w:t>UNGA, Report of the Special Rapporteur A/73/310/Rev.1</w:t>
      </w:r>
      <w:r w:rsidRPr="009F2647">
        <w:rPr>
          <w:rFonts w:eastAsia="Tahoma"/>
          <w:color w:val="000000"/>
          <w:sz w:val="20"/>
          <w:szCs w:val="20"/>
        </w:rPr>
        <w:t xml:space="preserve"> at</w:t>
      </w:r>
      <w:r w:rsidRPr="009F2647">
        <w:rPr>
          <w:rFonts w:eastAsia="Tahoma"/>
          <w:i/>
          <w:color w:val="000000"/>
          <w:sz w:val="20"/>
          <w:szCs w:val="20"/>
        </w:rPr>
        <w:t xml:space="preserve"> </w:t>
      </w:r>
      <w:r w:rsidRPr="009F2647">
        <w:rPr>
          <w:rFonts w:eastAsia="Tahoma"/>
          <w:color w:val="000000"/>
          <w:sz w:val="20"/>
          <w:szCs w:val="20"/>
        </w:rPr>
        <w:t xml:space="preserve">para 56(j); </w:t>
      </w:r>
      <w:r w:rsidRPr="009F2647">
        <w:rPr>
          <w:rFonts w:eastAsia="Tahoma"/>
          <w:i/>
          <w:color w:val="000000"/>
          <w:sz w:val="20"/>
          <w:szCs w:val="20"/>
        </w:rPr>
        <w:t>Basic Principles and Guidelines</w:t>
      </w:r>
      <w:r w:rsidRPr="009F2647">
        <w:rPr>
          <w:rFonts w:eastAsia="Tahoma"/>
          <w:color w:val="000000"/>
          <w:sz w:val="20"/>
          <w:szCs w:val="20"/>
        </w:rPr>
        <w:t xml:space="preserve"> at para 44.</w:t>
      </w:r>
    </w:p>
  </w:footnote>
  <w:footnote w:id="78">
    <w:p w14:paraId="5D543901"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See </w:t>
      </w:r>
      <w:r w:rsidRPr="009F2647">
        <w:rPr>
          <w:rFonts w:eastAsia="Tahoma"/>
          <w:i/>
          <w:sz w:val="20"/>
          <w:szCs w:val="20"/>
        </w:rPr>
        <w:t>UNGA, Report of the Special Rapporteur A/73/310/Rev.1</w:t>
      </w:r>
      <w:r w:rsidRPr="009F2647">
        <w:rPr>
          <w:rFonts w:eastAsia="Tahoma"/>
          <w:sz w:val="20"/>
          <w:szCs w:val="20"/>
        </w:rPr>
        <w:t xml:space="preserve"> at 6 and 10; See also UN General Assembly</w:t>
      </w:r>
      <w:r w:rsidRPr="009F2647">
        <w:rPr>
          <w:rFonts w:eastAsia="Tahoma"/>
          <w:i/>
          <w:sz w:val="20"/>
          <w:szCs w:val="20"/>
        </w:rPr>
        <w:t>, Implementation of General Assembly Resolution 60/251 of 15 March 2006, Entitled “Human Rights Council”: UNGA, Report of the Special Rapporteur A/73/310/Rev.1 on adequate housing as a component of the right to an adequate standard of living, Miloon Kothari</w:t>
      </w:r>
      <w:r w:rsidRPr="009F2647">
        <w:rPr>
          <w:rFonts w:eastAsia="Tahoma"/>
          <w:sz w:val="20"/>
          <w:szCs w:val="20"/>
        </w:rPr>
        <w:t xml:space="preserve">, 5 February 2007, A/HRC/4/18, available at: </w:t>
      </w:r>
      <w:hyperlink r:id="rId17">
        <w:r w:rsidRPr="009F2647">
          <w:rPr>
            <w:rFonts w:eastAsia="Tahoma"/>
            <w:sz w:val="20"/>
            <w:szCs w:val="20"/>
            <w:u w:val="single"/>
          </w:rPr>
          <w:t>https://undocs.org/A/HRC/4/18</w:t>
        </w:r>
      </w:hyperlink>
      <w:r w:rsidRPr="009F2647">
        <w:rPr>
          <w:rFonts w:eastAsia="Tahoma"/>
          <w:sz w:val="20"/>
          <w:szCs w:val="20"/>
        </w:rPr>
        <w:t xml:space="preserve"> [accessed 26 September 2019]. See also Pierre Graftieaux, “Moving people to help people move”, Transportation Research Procedia, Vol. 27 (2017), which details how the right to adequate housing was met for informal settlement dwellers who had to be relocated for a new road in Dakar.</w:t>
      </w:r>
    </w:p>
  </w:footnote>
  <w:footnote w:id="79">
    <w:p w14:paraId="031BB67B"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rPr>
        <w:t xml:space="preserve"> </w:t>
      </w:r>
      <w:r w:rsidRPr="009F2647">
        <w:rPr>
          <w:rFonts w:eastAsia="Tahoma"/>
          <w:i/>
          <w:color w:val="000000"/>
          <w:sz w:val="20"/>
          <w:szCs w:val="20"/>
        </w:rPr>
        <w:t>UNGA, Report of the Special Rapporteur A/73/310/Rev.1 2015</w:t>
      </w:r>
      <w:r w:rsidRPr="009F2647">
        <w:rPr>
          <w:rFonts w:eastAsia="Tahoma"/>
          <w:color w:val="000000"/>
          <w:sz w:val="20"/>
          <w:szCs w:val="20"/>
        </w:rPr>
        <w:t xml:space="preserve">, at para 49(d). </w:t>
      </w:r>
    </w:p>
  </w:footnote>
  <w:footnote w:id="80">
    <w:p w14:paraId="59343B5D" w14:textId="77777777" w:rsidR="006A2C1B" w:rsidRPr="009F2647" w:rsidRDefault="006A2C1B">
      <w:pPr>
        <w:pBdr>
          <w:top w:val="nil"/>
          <w:left w:val="nil"/>
          <w:bottom w:val="nil"/>
          <w:right w:val="nil"/>
          <w:between w:val="nil"/>
        </w:pBdr>
        <w:spacing w:after="0" w:line="240" w:lineRule="auto"/>
        <w:rPr>
          <w:rFonts w:eastAsia="Tahoma"/>
          <w:color w:val="000000"/>
          <w:sz w:val="20"/>
          <w:szCs w:val="20"/>
        </w:rPr>
      </w:pPr>
      <w:r w:rsidRPr="009F2647">
        <w:rPr>
          <w:sz w:val="20"/>
          <w:szCs w:val="20"/>
          <w:vertAlign w:val="superscript"/>
        </w:rPr>
        <w:footnoteRef/>
      </w:r>
      <w:r w:rsidRPr="009F2647">
        <w:rPr>
          <w:rFonts w:eastAsia="Tahoma"/>
          <w:color w:val="000000"/>
          <w:sz w:val="20"/>
          <w:szCs w:val="20"/>
        </w:rPr>
        <w:t xml:space="preserve"> </w:t>
      </w:r>
      <w:r w:rsidRPr="009F2647">
        <w:rPr>
          <w:rFonts w:eastAsia="Tahoma"/>
          <w:i/>
          <w:color w:val="000000"/>
          <w:sz w:val="20"/>
          <w:szCs w:val="20"/>
        </w:rPr>
        <w:t>General Comment 7</w:t>
      </w:r>
      <w:r w:rsidRPr="009F2647">
        <w:rPr>
          <w:rFonts w:eastAsia="Tahoma"/>
          <w:color w:val="000000"/>
          <w:sz w:val="20"/>
          <w:szCs w:val="20"/>
        </w:rPr>
        <w:t xml:space="preserve"> (1997), at para 16; Basic Principles and Guidelines on Development-Based Evictions and Displacement, A/HRC/4/18, para. 16 (citing to general comment No. 4 on the right to adequate housing, adopted by the Committee on Economic, Social and Cultural Rights in 1991).</w:t>
      </w:r>
    </w:p>
  </w:footnote>
  <w:footnote w:id="81">
    <w:p w14:paraId="43D63ED8"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UNGA, Report of the Special Rapporteur A/73/310/Rev.1</w:t>
      </w:r>
      <w:r w:rsidRPr="009F2647">
        <w:rPr>
          <w:rFonts w:eastAsia="Tahoma"/>
          <w:sz w:val="20"/>
          <w:szCs w:val="20"/>
        </w:rPr>
        <w:t xml:space="preserve"> at 14 to 15; An example of legislation implementing this obligation is Portugal’s Housing Basic Law at Article 11(2).</w:t>
      </w:r>
    </w:p>
  </w:footnote>
  <w:footnote w:id="82">
    <w:p w14:paraId="0D35D012"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See </w:t>
      </w:r>
      <w:r w:rsidRPr="009F2647">
        <w:rPr>
          <w:rFonts w:eastAsia="Tahoma"/>
          <w:i/>
          <w:sz w:val="20"/>
          <w:szCs w:val="20"/>
        </w:rPr>
        <w:t>General Comment 7</w:t>
      </w:r>
      <w:r w:rsidRPr="009F2647">
        <w:rPr>
          <w:rFonts w:eastAsia="Tahoma"/>
          <w:sz w:val="20"/>
          <w:szCs w:val="20"/>
        </w:rPr>
        <w:t xml:space="preserve"> at 4.</w:t>
      </w:r>
    </w:p>
  </w:footnote>
  <w:footnote w:id="83">
    <w:p w14:paraId="647BEFB8"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General Comment 7</w:t>
      </w:r>
      <w:r w:rsidRPr="009F2647">
        <w:rPr>
          <w:rFonts w:eastAsia="Tahoma"/>
          <w:sz w:val="20"/>
          <w:szCs w:val="20"/>
        </w:rPr>
        <w:t xml:space="preserve"> at 4.</w:t>
      </w:r>
    </w:p>
  </w:footnote>
  <w:footnote w:id="84">
    <w:p w14:paraId="01A853FE" w14:textId="77777777" w:rsidR="006A2C1B" w:rsidRPr="009F2647" w:rsidRDefault="006A2C1B">
      <w:pPr>
        <w:spacing w:after="0" w:line="240" w:lineRule="auto"/>
        <w:rPr>
          <w:rFonts w:eastAsia="Tahoma"/>
          <w:sz w:val="20"/>
          <w:szCs w:val="20"/>
        </w:rPr>
      </w:pPr>
      <w:r w:rsidRPr="009F2647">
        <w:rPr>
          <w:sz w:val="20"/>
          <w:szCs w:val="20"/>
          <w:vertAlign w:val="superscript"/>
        </w:rPr>
        <w:footnoteRef/>
      </w:r>
      <w:r w:rsidRPr="009F2647">
        <w:rPr>
          <w:rFonts w:eastAsia="Tahoma"/>
          <w:sz w:val="20"/>
          <w:szCs w:val="20"/>
        </w:rPr>
        <w:t xml:space="preserve"> </w:t>
      </w:r>
      <w:r w:rsidRPr="009F2647">
        <w:rPr>
          <w:rFonts w:eastAsia="Tahoma"/>
          <w:i/>
          <w:sz w:val="20"/>
          <w:szCs w:val="20"/>
        </w:rPr>
        <w:t>UNGA, Report of the Special Rapporteur A/73/310/Rev.1</w:t>
      </w:r>
      <w:r w:rsidRPr="009F2647">
        <w:rPr>
          <w:rFonts w:eastAsia="Tahoma"/>
          <w:sz w:val="20"/>
          <w:szCs w:val="20"/>
        </w:rPr>
        <w:t xml:space="preserve"> at</w:t>
      </w:r>
      <w:r>
        <w:rPr>
          <w:rFonts w:ascii="Tahoma" w:eastAsia="Tahoma" w:hAnsi="Tahoma" w:cs="Tahoma"/>
          <w:sz w:val="20"/>
          <w:szCs w:val="20"/>
        </w:rPr>
        <w:t xml:space="preserve"> </w:t>
      </w:r>
      <w:r w:rsidRPr="009F2647">
        <w:rPr>
          <w:rFonts w:eastAsia="Tahoma"/>
          <w:sz w:val="20"/>
          <w:szCs w:val="20"/>
        </w:rPr>
        <w:t>22 to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9B6B" w14:textId="77777777" w:rsidR="006A2C1B" w:rsidRDefault="006A2C1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0C45" w14:textId="77777777" w:rsidR="006A2C1B" w:rsidRDefault="006A2C1B">
    <w:pPr>
      <w:widowControl w:val="0"/>
      <w:pBdr>
        <w:top w:val="nil"/>
        <w:left w:val="nil"/>
        <w:bottom w:val="nil"/>
        <w:right w:val="nil"/>
        <w:between w:val="nil"/>
      </w:pBdr>
      <w:spacing w:after="0" w:line="276" w:lineRule="auto"/>
      <w:rPr>
        <w:rFonts w:ascii="Tahoma" w:eastAsia="Tahoma" w:hAnsi="Tahoma" w:cs="Tahoma"/>
        <w:color w:val="000000"/>
        <w:sz w:val="21"/>
        <w:szCs w:val="21"/>
      </w:rPr>
    </w:pPr>
  </w:p>
  <w:tbl>
    <w:tblPr>
      <w:tblStyle w:val="a"/>
      <w:tblW w:w="9360" w:type="dxa"/>
      <w:tblLayout w:type="fixed"/>
      <w:tblLook w:val="0600" w:firstRow="0" w:lastRow="0" w:firstColumn="0" w:lastColumn="0" w:noHBand="1" w:noVBand="1"/>
    </w:tblPr>
    <w:tblGrid>
      <w:gridCol w:w="3120"/>
      <w:gridCol w:w="3120"/>
      <w:gridCol w:w="3120"/>
    </w:tblGrid>
    <w:tr w:rsidR="006A2C1B" w14:paraId="3981AC65" w14:textId="77777777">
      <w:tc>
        <w:tcPr>
          <w:tcW w:w="3120" w:type="dxa"/>
        </w:tcPr>
        <w:p w14:paraId="29CCB4FE" w14:textId="77777777" w:rsidR="006A2C1B" w:rsidRDefault="006A2C1B">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2D484CEA" w14:textId="77777777" w:rsidR="006A2C1B" w:rsidRDefault="006A2C1B">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49BB8247" w14:textId="77777777" w:rsidR="006A2C1B" w:rsidRDefault="006A2C1B">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3EBF66EC" w14:textId="77777777" w:rsidR="006A2C1B" w:rsidRDefault="006A2C1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3B5C" w14:textId="77777777" w:rsidR="006A2C1B" w:rsidRDefault="006A2C1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2F2"/>
    <w:multiLevelType w:val="hybridMultilevel"/>
    <w:tmpl w:val="FB6E2FA0"/>
    <w:lvl w:ilvl="0" w:tplc="35D226F6">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0473129"/>
    <w:multiLevelType w:val="multilevel"/>
    <w:tmpl w:val="745A3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0D016E"/>
    <w:multiLevelType w:val="hybridMultilevel"/>
    <w:tmpl w:val="08A86D9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8F9692C"/>
    <w:multiLevelType w:val="multilevel"/>
    <w:tmpl w:val="1FAEB6E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056FC7"/>
    <w:multiLevelType w:val="hybridMultilevel"/>
    <w:tmpl w:val="25187478"/>
    <w:lvl w:ilvl="0" w:tplc="F50685EC">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DA033D0"/>
    <w:multiLevelType w:val="multilevel"/>
    <w:tmpl w:val="C5CEEE0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00862C1"/>
    <w:multiLevelType w:val="multilevel"/>
    <w:tmpl w:val="A0288A4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97744D5"/>
    <w:multiLevelType w:val="multilevel"/>
    <w:tmpl w:val="D1E24C5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314B0F"/>
    <w:multiLevelType w:val="hybridMultilevel"/>
    <w:tmpl w:val="99D28C96"/>
    <w:lvl w:ilvl="0" w:tplc="AC56EFC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1353EBA"/>
    <w:multiLevelType w:val="hybridMultilevel"/>
    <w:tmpl w:val="B6C6707A"/>
    <w:lvl w:ilvl="0" w:tplc="6522390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6735621">
    <w:abstractNumId w:val="6"/>
  </w:num>
  <w:num w:numId="2" w16cid:durableId="643237683">
    <w:abstractNumId w:val="5"/>
  </w:num>
  <w:num w:numId="3" w16cid:durableId="660036690">
    <w:abstractNumId w:val="1"/>
  </w:num>
  <w:num w:numId="4" w16cid:durableId="1191840724">
    <w:abstractNumId w:val="7"/>
  </w:num>
  <w:num w:numId="5" w16cid:durableId="739333018">
    <w:abstractNumId w:val="3"/>
  </w:num>
  <w:num w:numId="6" w16cid:durableId="170268221">
    <w:abstractNumId w:val="2"/>
  </w:num>
  <w:num w:numId="7" w16cid:durableId="1683240872">
    <w:abstractNumId w:val="8"/>
  </w:num>
  <w:num w:numId="8" w16cid:durableId="1529952785">
    <w:abstractNumId w:val="9"/>
  </w:num>
  <w:num w:numId="9" w16cid:durableId="1191525987">
    <w:abstractNumId w:val="0"/>
  </w:num>
  <w:num w:numId="10" w16cid:durableId="178680328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ja Rachamalla">
    <w15:presenceInfo w15:providerId="None" w15:userId="Teja Rachamal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000"/>
    <w:rsid w:val="00003788"/>
    <w:rsid w:val="000108C1"/>
    <w:rsid w:val="00012798"/>
    <w:rsid w:val="00014079"/>
    <w:rsid w:val="00051103"/>
    <w:rsid w:val="00053BA7"/>
    <w:rsid w:val="00055FCF"/>
    <w:rsid w:val="0006392A"/>
    <w:rsid w:val="0006405E"/>
    <w:rsid w:val="00064723"/>
    <w:rsid w:val="00082804"/>
    <w:rsid w:val="00083CF9"/>
    <w:rsid w:val="000942E3"/>
    <w:rsid w:val="00094FDC"/>
    <w:rsid w:val="000A6312"/>
    <w:rsid w:val="000B021F"/>
    <w:rsid w:val="000B3432"/>
    <w:rsid w:val="000B7A89"/>
    <w:rsid w:val="000C02B7"/>
    <w:rsid w:val="000C0944"/>
    <w:rsid w:val="000C6443"/>
    <w:rsid w:val="000E0F36"/>
    <w:rsid w:val="00104019"/>
    <w:rsid w:val="00105384"/>
    <w:rsid w:val="001148F7"/>
    <w:rsid w:val="00116908"/>
    <w:rsid w:val="001318F9"/>
    <w:rsid w:val="00137CF7"/>
    <w:rsid w:val="00140505"/>
    <w:rsid w:val="0014252A"/>
    <w:rsid w:val="00146C4D"/>
    <w:rsid w:val="00151533"/>
    <w:rsid w:val="00154841"/>
    <w:rsid w:val="00156909"/>
    <w:rsid w:val="001645CD"/>
    <w:rsid w:val="0017277D"/>
    <w:rsid w:val="00173240"/>
    <w:rsid w:val="00181ACE"/>
    <w:rsid w:val="00186522"/>
    <w:rsid w:val="001870DF"/>
    <w:rsid w:val="00192431"/>
    <w:rsid w:val="001942C7"/>
    <w:rsid w:val="001A23EE"/>
    <w:rsid w:val="001B2B99"/>
    <w:rsid w:val="001C223A"/>
    <w:rsid w:val="001C5B99"/>
    <w:rsid w:val="001C6070"/>
    <w:rsid w:val="001D3FD3"/>
    <w:rsid w:val="001D4E2C"/>
    <w:rsid w:val="001D6A0D"/>
    <w:rsid w:val="001E0CA9"/>
    <w:rsid w:val="001E176C"/>
    <w:rsid w:val="001E4E50"/>
    <w:rsid w:val="001F1CE7"/>
    <w:rsid w:val="001F78DD"/>
    <w:rsid w:val="00200AF9"/>
    <w:rsid w:val="002163AE"/>
    <w:rsid w:val="00221730"/>
    <w:rsid w:val="0024404B"/>
    <w:rsid w:val="0024405D"/>
    <w:rsid w:val="0025094D"/>
    <w:rsid w:val="00263D73"/>
    <w:rsid w:val="00273478"/>
    <w:rsid w:val="00273537"/>
    <w:rsid w:val="00273A43"/>
    <w:rsid w:val="00285117"/>
    <w:rsid w:val="00285DE6"/>
    <w:rsid w:val="00292E75"/>
    <w:rsid w:val="00295AD7"/>
    <w:rsid w:val="002A55E2"/>
    <w:rsid w:val="002A63AB"/>
    <w:rsid w:val="002A6BC0"/>
    <w:rsid w:val="002B545E"/>
    <w:rsid w:val="002C0A4F"/>
    <w:rsid w:val="002D65BF"/>
    <w:rsid w:val="002E0F1F"/>
    <w:rsid w:val="002E2174"/>
    <w:rsid w:val="002E4DE5"/>
    <w:rsid w:val="002F42C6"/>
    <w:rsid w:val="00301798"/>
    <w:rsid w:val="00310AD9"/>
    <w:rsid w:val="003163A1"/>
    <w:rsid w:val="00322F91"/>
    <w:rsid w:val="003246BC"/>
    <w:rsid w:val="00324C09"/>
    <w:rsid w:val="00331B40"/>
    <w:rsid w:val="0034144A"/>
    <w:rsid w:val="00350C54"/>
    <w:rsid w:val="00370AA3"/>
    <w:rsid w:val="003721AD"/>
    <w:rsid w:val="00380670"/>
    <w:rsid w:val="00380D9F"/>
    <w:rsid w:val="00392980"/>
    <w:rsid w:val="00394F37"/>
    <w:rsid w:val="003979BF"/>
    <w:rsid w:val="003A074D"/>
    <w:rsid w:val="003A35B3"/>
    <w:rsid w:val="003A73E1"/>
    <w:rsid w:val="003B0091"/>
    <w:rsid w:val="003B343A"/>
    <w:rsid w:val="003B56E8"/>
    <w:rsid w:val="003B7577"/>
    <w:rsid w:val="003C01BA"/>
    <w:rsid w:val="003D2B99"/>
    <w:rsid w:val="003D5BAD"/>
    <w:rsid w:val="003E133B"/>
    <w:rsid w:val="003E4B86"/>
    <w:rsid w:val="003E62B2"/>
    <w:rsid w:val="003E65EB"/>
    <w:rsid w:val="003F47B0"/>
    <w:rsid w:val="003F7E77"/>
    <w:rsid w:val="0040047C"/>
    <w:rsid w:val="004037FC"/>
    <w:rsid w:val="00404AF2"/>
    <w:rsid w:val="0041157E"/>
    <w:rsid w:val="004151C0"/>
    <w:rsid w:val="0042349C"/>
    <w:rsid w:val="00427834"/>
    <w:rsid w:val="0044562D"/>
    <w:rsid w:val="004507FD"/>
    <w:rsid w:val="00452B4C"/>
    <w:rsid w:val="004547BB"/>
    <w:rsid w:val="004613F8"/>
    <w:rsid w:val="00465891"/>
    <w:rsid w:val="00466542"/>
    <w:rsid w:val="00470915"/>
    <w:rsid w:val="00474329"/>
    <w:rsid w:val="00491B1F"/>
    <w:rsid w:val="004921BB"/>
    <w:rsid w:val="00496BB4"/>
    <w:rsid w:val="004A7759"/>
    <w:rsid w:val="004B330E"/>
    <w:rsid w:val="004B7722"/>
    <w:rsid w:val="004C3422"/>
    <w:rsid w:val="004D29F3"/>
    <w:rsid w:val="004D4269"/>
    <w:rsid w:val="004D7DC5"/>
    <w:rsid w:val="004E4602"/>
    <w:rsid w:val="004E5A89"/>
    <w:rsid w:val="004E68F4"/>
    <w:rsid w:val="004E6EF0"/>
    <w:rsid w:val="004F4AC1"/>
    <w:rsid w:val="00511F3E"/>
    <w:rsid w:val="00512AD2"/>
    <w:rsid w:val="005203E4"/>
    <w:rsid w:val="00522762"/>
    <w:rsid w:val="00526A1C"/>
    <w:rsid w:val="005307B6"/>
    <w:rsid w:val="00541CE0"/>
    <w:rsid w:val="005456A6"/>
    <w:rsid w:val="00551330"/>
    <w:rsid w:val="00551C03"/>
    <w:rsid w:val="005545A5"/>
    <w:rsid w:val="0055700E"/>
    <w:rsid w:val="00561F4A"/>
    <w:rsid w:val="005713F4"/>
    <w:rsid w:val="00577383"/>
    <w:rsid w:val="00580C3E"/>
    <w:rsid w:val="00581345"/>
    <w:rsid w:val="00583536"/>
    <w:rsid w:val="005861CD"/>
    <w:rsid w:val="005942E3"/>
    <w:rsid w:val="005950C4"/>
    <w:rsid w:val="005C76D6"/>
    <w:rsid w:val="005D4AEE"/>
    <w:rsid w:val="005E147D"/>
    <w:rsid w:val="005E3018"/>
    <w:rsid w:val="005F366D"/>
    <w:rsid w:val="005F7406"/>
    <w:rsid w:val="006026A1"/>
    <w:rsid w:val="00602F4B"/>
    <w:rsid w:val="00630B32"/>
    <w:rsid w:val="0063292A"/>
    <w:rsid w:val="006336B8"/>
    <w:rsid w:val="00634047"/>
    <w:rsid w:val="006518E9"/>
    <w:rsid w:val="006538C7"/>
    <w:rsid w:val="006560A2"/>
    <w:rsid w:val="006616DA"/>
    <w:rsid w:val="00661F6D"/>
    <w:rsid w:val="006620AD"/>
    <w:rsid w:val="00665C2F"/>
    <w:rsid w:val="00670969"/>
    <w:rsid w:val="00680E17"/>
    <w:rsid w:val="0068558A"/>
    <w:rsid w:val="00685BDB"/>
    <w:rsid w:val="00697EBA"/>
    <w:rsid w:val="006A2C1B"/>
    <w:rsid w:val="006A3E1F"/>
    <w:rsid w:val="006A72BB"/>
    <w:rsid w:val="006B7743"/>
    <w:rsid w:val="006B7836"/>
    <w:rsid w:val="006C12C6"/>
    <w:rsid w:val="006C2359"/>
    <w:rsid w:val="006D0077"/>
    <w:rsid w:val="006D1298"/>
    <w:rsid w:val="006D3D97"/>
    <w:rsid w:val="006D4F47"/>
    <w:rsid w:val="006F096E"/>
    <w:rsid w:val="006F23AC"/>
    <w:rsid w:val="006F3C19"/>
    <w:rsid w:val="006F4A3B"/>
    <w:rsid w:val="00701CF4"/>
    <w:rsid w:val="00702C4A"/>
    <w:rsid w:val="007038A7"/>
    <w:rsid w:val="007072C9"/>
    <w:rsid w:val="007109E7"/>
    <w:rsid w:val="007179D7"/>
    <w:rsid w:val="007229BD"/>
    <w:rsid w:val="00726889"/>
    <w:rsid w:val="00731219"/>
    <w:rsid w:val="007419DC"/>
    <w:rsid w:val="0074701A"/>
    <w:rsid w:val="007601E0"/>
    <w:rsid w:val="007664B5"/>
    <w:rsid w:val="00771DF2"/>
    <w:rsid w:val="00772371"/>
    <w:rsid w:val="00782A2B"/>
    <w:rsid w:val="007847D7"/>
    <w:rsid w:val="00786CAE"/>
    <w:rsid w:val="00794C3D"/>
    <w:rsid w:val="007A3DA5"/>
    <w:rsid w:val="007B0704"/>
    <w:rsid w:val="007B2EFE"/>
    <w:rsid w:val="007C31D2"/>
    <w:rsid w:val="007C4F28"/>
    <w:rsid w:val="007C6D88"/>
    <w:rsid w:val="007D5D51"/>
    <w:rsid w:val="007E338F"/>
    <w:rsid w:val="007F1384"/>
    <w:rsid w:val="007F2CDC"/>
    <w:rsid w:val="00800210"/>
    <w:rsid w:val="00803EC0"/>
    <w:rsid w:val="008152F5"/>
    <w:rsid w:val="00816652"/>
    <w:rsid w:val="00836CCB"/>
    <w:rsid w:val="00845C9E"/>
    <w:rsid w:val="00846A21"/>
    <w:rsid w:val="0085057D"/>
    <w:rsid w:val="00850E6A"/>
    <w:rsid w:val="00852B78"/>
    <w:rsid w:val="00857DA1"/>
    <w:rsid w:val="0086488F"/>
    <w:rsid w:val="008660D1"/>
    <w:rsid w:val="00873790"/>
    <w:rsid w:val="00874F6A"/>
    <w:rsid w:val="008756A8"/>
    <w:rsid w:val="00880C76"/>
    <w:rsid w:val="00883703"/>
    <w:rsid w:val="00884814"/>
    <w:rsid w:val="00894DBE"/>
    <w:rsid w:val="008A2ED0"/>
    <w:rsid w:val="008A305E"/>
    <w:rsid w:val="008A79CD"/>
    <w:rsid w:val="008B103A"/>
    <w:rsid w:val="008B1437"/>
    <w:rsid w:val="008B6E0B"/>
    <w:rsid w:val="008B7ADC"/>
    <w:rsid w:val="008C06BE"/>
    <w:rsid w:val="008C37AB"/>
    <w:rsid w:val="008C52D6"/>
    <w:rsid w:val="008C5AB4"/>
    <w:rsid w:val="008E4A07"/>
    <w:rsid w:val="008E609F"/>
    <w:rsid w:val="009003AA"/>
    <w:rsid w:val="00904DD6"/>
    <w:rsid w:val="00904FA7"/>
    <w:rsid w:val="00927601"/>
    <w:rsid w:val="009342E2"/>
    <w:rsid w:val="009501D6"/>
    <w:rsid w:val="00955B62"/>
    <w:rsid w:val="0096693E"/>
    <w:rsid w:val="00972DDE"/>
    <w:rsid w:val="00976474"/>
    <w:rsid w:val="009A5E9F"/>
    <w:rsid w:val="009B2F06"/>
    <w:rsid w:val="009D4073"/>
    <w:rsid w:val="009E0379"/>
    <w:rsid w:val="009E227D"/>
    <w:rsid w:val="009E3D0C"/>
    <w:rsid w:val="009E3F0F"/>
    <w:rsid w:val="009E57E4"/>
    <w:rsid w:val="009E7A2D"/>
    <w:rsid w:val="009F10CE"/>
    <w:rsid w:val="009F2647"/>
    <w:rsid w:val="009F2947"/>
    <w:rsid w:val="009F3FD2"/>
    <w:rsid w:val="00A01CE6"/>
    <w:rsid w:val="00A04000"/>
    <w:rsid w:val="00A31008"/>
    <w:rsid w:val="00A3676B"/>
    <w:rsid w:val="00A4093B"/>
    <w:rsid w:val="00A44587"/>
    <w:rsid w:val="00A511CE"/>
    <w:rsid w:val="00A60C14"/>
    <w:rsid w:val="00A624F3"/>
    <w:rsid w:val="00A62F1B"/>
    <w:rsid w:val="00A6783F"/>
    <w:rsid w:val="00A72476"/>
    <w:rsid w:val="00A81F6B"/>
    <w:rsid w:val="00A835A7"/>
    <w:rsid w:val="00A858FB"/>
    <w:rsid w:val="00A93ECD"/>
    <w:rsid w:val="00AA0AF6"/>
    <w:rsid w:val="00AA71FF"/>
    <w:rsid w:val="00AB1C8C"/>
    <w:rsid w:val="00AB44D9"/>
    <w:rsid w:val="00AB4A92"/>
    <w:rsid w:val="00AB4B16"/>
    <w:rsid w:val="00AB78FE"/>
    <w:rsid w:val="00AD1566"/>
    <w:rsid w:val="00AD27E7"/>
    <w:rsid w:val="00AD6C89"/>
    <w:rsid w:val="00AD6CC6"/>
    <w:rsid w:val="00AD74F3"/>
    <w:rsid w:val="00AE0673"/>
    <w:rsid w:val="00AE2754"/>
    <w:rsid w:val="00AE32C8"/>
    <w:rsid w:val="00AE5556"/>
    <w:rsid w:val="00AE56BC"/>
    <w:rsid w:val="00AE6E25"/>
    <w:rsid w:val="00AE7783"/>
    <w:rsid w:val="00AF079F"/>
    <w:rsid w:val="00AF0961"/>
    <w:rsid w:val="00B06EB2"/>
    <w:rsid w:val="00B13433"/>
    <w:rsid w:val="00B17B48"/>
    <w:rsid w:val="00B21E24"/>
    <w:rsid w:val="00B2345D"/>
    <w:rsid w:val="00B27658"/>
    <w:rsid w:val="00B37F93"/>
    <w:rsid w:val="00B4045A"/>
    <w:rsid w:val="00B423BD"/>
    <w:rsid w:val="00B4287C"/>
    <w:rsid w:val="00B42E39"/>
    <w:rsid w:val="00B50A28"/>
    <w:rsid w:val="00B532E1"/>
    <w:rsid w:val="00B66062"/>
    <w:rsid w:val="00B666AC"/>
    <w:rsid w:val="00B666CF"/>
    <w:rsid w:val="00B75901"/>
    <w:rsid w:val="00B775D9"/>
    <w:rsid w:val="00B80235"/>
    <w:rsid w:val="00B8047A"/>
    <w:rsid w:val="00B830C8"/>
    <w:rsid w:val="00B83818"/>
    <w:rsid w:val="00B87D36"/>
    <w:rsid w:val="00B920C8"/>
    <w:rsid w:val="00B944A5"/>
    <w:rsid w:val="00B94FA9"/>
    <w:rsid w:val="00BA0D1F"/>
    <w:rsid w:val="00BA0FC6"/>
    <w:rsid w:val="00BA36B7"/>
    <w:rsid w:val="00BA542A"/>
    <w:rsid w:val="00BB35C3"/>
    <w:rsid w:val="00BB5989"/>
    <w:rsid w:val="00BB5AAB"/>
    <w:rsid w:val="00BC28A7"/>
    <w:rsid w:val="00BC2D96"/>
    <w:rsid w:val="00BC31D9"/>
    <w:rsid w:val="00BC6071"/>
    <w:rsid w:val="00BC6B92"/>
    <w:rsid w:val="00BD4B35"/>
    <w:rsid w:val="00BD5A97"/>
    <w:rsid w:val="00BD6D45"/>
    <w:rsid w:val="00BE1C59"/>
    <w:rsid w:val="00BE6E8F"/>
    <w:rsid w:val="00BF4245"/>
    <w:rsid w:val="00C01DB6"/>
    <w:rsid w:val="00C0550A"/>
    <w:rsid w:val="00C057BD"/>
    <w:rsid w:val="00C06F57"/>
    <w:rsid w:val="00C079F2"/>
    <w:rsid w:val="00C13EFB"/>
    <w:rsid w:val="00C155AE"/>
    <w:rsid w:val="00C15CEB"/>
    <w:rsid w:val="00C263B7"/>
    <w:rsid w:val="00C2668C"/>
    <w:rsid w:val="00C27DAD"/>
    <w:rsid w:val="00C33720"/>
    <w:rsid w:val="00C4002E"/>
    <w:rsid w:val="00C428F8"/>
    <w:rsid w:val="00C45877"/>
    <w:rsid w:val="00C57C13"/>
    <w:rsid w:val="00C57F91"/>
    <w:rsid w:val="00C609F0"/>
    <w:rsid w:val="00C76244"/>
    <w:rsid w:val="00C84FBB"/>
    <w:rsid w:val="00C90A3A"/>
    <w:rsid w:val="00CB1A7E"/>
    <w:rsid w:val="00CB4AB4"/>
    <w:rsid w:val="00CB71B2"/>
    <w:rsid w:val="00CB7C4D"/>
    <w:rsid w:val="00CC42C6"/>
    <w:rsid w:val="00CD5A77"/>
    <w:rsid w:val="00CE3790"/>
    <w:rsid w:val="00CF1D65"/>
    <w:rsid w:val="00CF357F"/>
    <w:rsid w:val="00D07456"/>
    <w:rsid w:val="00D07757"/>
    <w:rsid w:val="00D112F2"/>
    <w:rsid w:val="00D14BD3"/>
    <w:rsid w:val="00D16346"/>
    <w:rsid w:val="00D171E9"/>
    <w:rsid w:val="00D22CDD"/>
    <w:rsid w:val="00D2517B"/>
    <w:rsid w:val="00D25453"/>
    <w:rsid w:val="00D274AC"/>
    <w:rsid w:val="00D33402"/>
    <w:rsid w:val="00D40C2C"/>
    <w:rsid w:val="00D41067"/>
    <w:rsid w:val="00D44489"/>
    <w:rsid w:val="00D46F84"/>
    <w:rsid w:val="00D546EC"/>
    <w:rsid w:val="00D54D37"/>
    <w:rsid w:val="00D56674"/>
    <w:rsid w:val="00D60F07"/>
    <w:rsid w:val="00D646EB"/>
    <w:rsid w:val="00D66388"/>
    <w:rsid w:val="00D67EC5"/>
    <w:rsid w:val="00D71034"/>
    <w:rsid w:val="00D71879"/>
    <w:rsid w:val="00D72B03"/>
    <w:rsid w:val="00D8597D"/>
    <w:rsid w:val="00D863B9"/>
    <w:rsid w:val="00D86E3E"/>
    <w:rsid w:val="00DA23F0"/>
    <w:rsid w:val="00DA2FA3"/>
    <w:rsid w:val="00DB066C"/>
    <w:rsid w:val="00DB2CEA"/>
    <w:rsid w:val="00DC3325"/>
    <w:rsid w:val="00DC4ECA"/>
    <w:rsid w:val="00DD576E"/>
    <w:rsid w:val="00DD7EC4"/>
    <w:rsid w:val="00DE66C5"/>
    <w:rsid w:val="00DF7A37"/>
    <w:rsid w:val="00E00643"/>
    <w:rsid w:val="00E045F2"/>
    <w:rsid w:val="00E04C93"/>
    <w:rsid w:val="00E10DD5"/>
    <w:rsid w:val="00E14E15"/>
    <w:rsid w:val="00E1778C"/>
    <w:rsid w:val="00E20223"/>
    <w:rsid w:val="00E3252C"/>
    <w:rsid w:val="00E35A9B"/>
    <w:rsid w:val="00E4029C"/>
    <w:rsid w:val="00E433AC"/>
    <w:rsid w:val="00E46335"/>
    <w:rsid w:val="00E464E2"/>
    <w:rsid w:val="00E56AF9"/>
    <w:rsid w:val="00E66542"/>
    <w:rsid w:val="00E6732D"/>
    <w:rsid w:val="00E74A53"/>
    <w:rsid w:val="00E75387"/>
    <w:rsid w:val="00E75E22"/>
    <w:rsid w:val="00E7736B"/>
    <w:rsid w:val="00E81C30"/>
    <w:rsid w:val="00E83E11"/>
    <w:rsid w:val="00E83F4C"/>
    <w:rsid w:val="00E84DED"/>
    <w:rsid w:val="00E85AEE"/>
    <w:rsid w:val="00E918B1"/>
    <w:rsid w:val="00E95C25"/>
    <w:rsid w:val="00EA1644"/>
    <w:rsid w:val="00EA76A4"/>
    <w:rsid w:val="00EB1E28"/>
    <w:rsid w:val="00EB27C5"/>
    <w:rsid w:val="00EB754D"/>
    <w:rsid w:val="00EC185E"/>
    <w:rsid w:val="00EC1A66"/>
    <w:rsid w:val="00EC2940"/>
    <w:rsid w:val="00EC7F2C"/>
    <w:rsid w:val="00ED23E8"/>
    <w:rsid w:val="00ED3C52"/>
    <w:rsid w:val="00EE254D"/>
    <w:rsid w:val="00EE4B47"/>
    <w:rsid w:val="00EF4751"/>
    <w:rsid w:val="00EF4AF5"/>
    <w:rsid w:val="00F01F53"/>
    <w:rsid w:val="00F0242F"/>
    <w:rsid w:val="00F213E7"/>
    <w:rsid w:val="00F21901"/>
    <w:rsid w:val="00F23300"/>
    <w:rsid w:val="00F263CA"/>
    <w:rsid w:val="00F322CE"/>
    <w:rsid w:val="00F32E5E"/>
    <w:rsid w:val="00F33E6B"/>
    <w:rsid w:val="00F3548C"/>
    <w:rsid w:val="00F56EB0"/>
    <w:rsid w:val="00F62DC4"/>
    <w:rsid w:val="00F74496"/>
    <w:rsid w:val="00F77E35"/>
    <w:rsid w:val="00F77F18"/>
    <w:rsid w:val="00F81147"/>
    <w:rsid w:val="00F825F1"/>
    <w:rsid w:val="00F925CE"/>
    <w:rsid w:val="00F943D8"/>
    <w:rsid w:val="00F95DBC"/>
    <w:rsid w:val="00FA0884"/>
    <w:rsid w:val="00FB2FAC"/>
    <w:rsid w:val="00FC0934"/>
    <w:rsid w:val="00FD2649"/>
    <w:rsid w:val="00FD30A6"/>
    <w:rsid w:val="00FD59EA"/>
    <w:rsid w:val="00FE09DD"/>
    <w:rsid w:val="00FE1987"/>
    <w:rsid w:val="00FE1F7F"/>
    <w:rsid w:val="00FF0424"/>
    <w:rsid w:val="00FF2AEA"/>
    <w:rsid w:val="00FF62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D2477"/>
  <w15:docId w15:val="{FA0772F4-24AE-4F09-9C80-48A5F9CA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28"/>
      <w:szCs w:val="28"/>
    </w:rPr>
  </w:style>
  <w:style w:type="paragraph" w:styleId="Heading2">
    <w:name w:val="heading 2"/>
    <w:basedOn w:val="Normal"/>
    <w:next w:val="Normal"/>
    <w:uiPriority w:val="9"/>
    <w:unhideWhenUsed/>
    <w:qFormat/>
    <w:pPr>
      <w:spacing w:line="240" w:lineRule="auto"/>
      <w:outlineLvl w:val="1"/>
    </w:pPr>
    <w:rPr>
      <w:rFonts w:ascii="Times New Roman" w:eastAsia="Times New Roman" w:hAnsi="Times New Roman" w:cs="Times New Roman"/>
      <w:b/>
      <w:sz w:val="24"/>
      <w:szCs w:val="24"/>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spacing w:line="240" w:lineRule="auto"/>
      <w:outlineLvl w:val="4"/>
    </w:pPr>
    <w:rPr>
      <w:rFonts w:ascii="Times New Roman" w:eastAsia="Times New Roman" w:hAnsi="Times New Roman" w:cs="Times New Roman"/>
      <w:b/>
      <w:sz w:val="20"/>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64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72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64723"/>
    <w:rPr>
      <w:b/>
      <w:bCs/>
    </w:rPr>
  </w:style>
  <w:style w:type="character" w:customStyle="1" w:styleId="CommentSubjectChar">
    <w:name w:val="Comment Subject Char"/>
    <w:basedOn w:val="CommentTextChar"/>
    <w:link w:val="CommentSubject"/>
    <w:uiPriority w:val="99"/>
    <w:semiHidden/>
    <w:rsid w:val="00064723"/>
    <w:rPr>
      <w:b/>
      <w:bCs/>
      <w:sz w:val="20"/>
      <w:szCs w:val="20"/>
    </w:rPr>
  </w:style>
  <w:style w:type="paragraph" w:styleId="FootnoteText">
    <w:name w:val="footnote text"/>
    <w:basedOn w:val="Normal"/>
    <w:link w:val="FootnoteTextChar"/>
    <w:uiPriority w:val="99"/>
    <w:semiHidden/>
    <w:unhideWhenUsed/>
    <w:rsid w:val="000647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4723"/>
    <w:rPr>
      <w:sz w:val="20"/>
      <w:szCs w:val="20"/>
    </w:rPr>
  </w:style>
  <w:style w:type="character" w:styleId="FootnoteReference">
    <w:name w:val="footnote reference"/>
    <w:basedOn w:val="DefaultParagraphFont"/>
    <w:uiPriority w:val="99"/>
    <w:semiHidden/>
    <w:unhideWhenUsed/>
    <w:rsid w:val="00064723"/>
    <w:rPr>
      <w:vertAlign w:val="superscript"/>
    </w:rPr>
  </w:style>
  <w:style w:type="paragraph" w:styleId="ListParagraph">
    <w:name w:val="List Paragraph"/>
    <w:basedOn w:val="Normal"/>
    <w:uiPriority w:val="34"/>
    <w:qFormat/>
    <w:rsid w:val="001E4E50"/>
    <w:pPr>
      <w:ind w:left="720"/>
      <w:contextualSpacing/>
    </w:pPr>
  </w:style>
  <w:style w:type="character" w:styleId="Hyperlink">
    <w:name w:val="Hyperlink"/>
    <w:basedOn w:val="DefaultParagraphFont"/>
    <w:uiPriority w:val="99"/>
    <w:unhideWhenUsed/>
    <w:rsid w:val="008E609F"/>
    <w:rPr>
      <w:color w:val="0000FF"/>
      <w:u w:val="single"/>
    </w:rPr>
  </w:style>
  <w:style w:type="character" w:styleId="UnresolvedMention">
    <w:name w:val="Unresolved Mention"/>
    <w:basedOn w:val="DefaultParagraphFont"/>
    <w:uiPriority w:val="99"/>
    <w:semiHidden/>
    <w:unhideWhenUsed/>
    <w:rsid w:val="006B7836"/>
    <w:rPr>
      <w:color w:val="605E5C"/>
      <w:shd w:val="clear" w:color="auto" w:fill="E1DFDD"/>
    </w:rPr>
  </w:style>
  <w:style w:type="paragraph" w:styleId="Footer">
    <w:name w:val="footer"/>
    <w:basedOn w:val="Normal"/>
    <w:link w:val="FooterChar"/>
    <w:uiPriority w:val="99"/>
    <w:unhideWhenUsed/>
    <w:rsid w:val="00AD2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7E7"/>
  </w:style>
  <w:style w:type="paragraph" w:styleId="TOC1">
    <w:name w:val="toc 1"/>
    <w:basedOn w:val="Normal"/>
    <w:next w:val="Normal"/>
    <w:autoRedefine/>
    <w:uiPriority w:val="39"/>
    <w:unhideWhenUsed/>
    <w:rsid w:val="00C0550A"/>
    <w:pPr>
      <w:tabs>
        <w:tab w:val="left" w:pos="440"/>
        <w:tab w:val="right" w:leader="dot" w:pos="9350"/>
      </w:tabs>
      <w:spacing w:after="100"/>
    </w:pPr>
    <w:rPr>
      <w:b/>
      <w:bCs/>
      <w:noProof/>
    </w:rPr>
  </w:style>
  <w:style w:type="paragraph" w:styleId="TOC2">
    <w:name w:val="toc 2"/>
    <w:basedOn w:val="Normal"/>
    <w:next w:val="Normal"/>
    <w:autoRedefine/>
    <w:uiPriority w:val="39"/>
    <w:unhideWhenUsed/>
    <w:rsid w:val="006336B8"/>
    <w:pPr>
      <w:spacing w:after="100"/>
      <w:ind w:left="220"/>
    </w:pPr>
  </w:style>
  <w:style w:type="paragraph" w:styleId="TOCHeading">
    <w:name w:val="TOC Heading"/>
    <w:basedOn w:val="Heading1"/>
    <w:next w:val="Normal"/>
    <w:uiPriority w:val="39"/>
    <w:unhideWhenUsed/>
    <w:qFormat/>
    <w:rsid w:val="006A2C1B"/>
    <w:pPr>
      <w:keepNext/>
      <w:keepLines/>
      <w:spacing w:before="240" w:after="0" w:line="259" w:lineRule="auto"/>
      <w:outlineLvl w:val="9"/>
    </w:pPr>
    <w:rPr>
      <w:rFonts w:asciiTheme="majorHAnsi" w:eastAsiaTheme="majorEastAsia" w:hAnsiTheme="majorHAnsi" w:cstheme="majorBidi"/>
      <w:b w:val="0"/>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qweri.lexum.com/calegis/schedule-b-to-the-canada-act-1982-uk-1982-c-11-en"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qweri.lexum.com/calegis/schedule-b-to-the-canada-act-1982-uk-1982-c-11-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qweri.lexum.com/calegis/schedule-b-to-the-canada-act-1982-uk-1982-c-11-en" TargetMode="External"/><Relationship Id="rId20" Type="http://schemas.openxmlformats.org/officeDocument/2006/relationships/hyperlink" Target="https://qweri.lexum.com/calegis/schedule-b-to-the-canada-act-1982-uk-1982-c-11-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qweri.lexum.com/calegis/schedule-b-to-the-canada-act-1982-uk-1982-c-11-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ohrc.on.ca/sites/default/files/attachments/Human_Rights_and_Rental_Housing_in_Ontario%3A_Background_Paper.pdf" TargetMode="External"/><Relationship Id="rId13" Type="http://schemas.openxmlformats.org/officeDocument/2006/relationships/hyperlink" Target="https://www.refworld.org/docid/3b00f0c514.html" TargetMode="External"/><Relationship Id="rId3" Type="http://schemas.openxmlformats.org/officeDocument/2006/relationships/hyperlink" Target="https://mail.google.com/mail/u/0/" TargetMode="External"/><Relationship Id="rId7" Type="http://schemas.openxmlformats.org/officeDocument/2006/relationships/hyperlink" Target="https://www.cigionline.org/sites/default/files/documents/Reflections%20Series%20Paper%20no.2web.pdf" TargetMode="External"/><Relationship Id="rId12" Type="http://schemas.openxmlformats.org/officeDocument/2006/relationships/hyperlink" Target="https://www.ohchr.org/documents/publications/fs21_rev_1_housing_en.pdf" TargetMode="External"/><Relationship Id="rId17" Type="http://schemas.openxmlformats.org/officeDocument/2006/relationships/hyperlink" Target="https://undocs.org/A/HRC/4/18" TargetMode="External"/><Relationship Id="rId2" Type="http://schemas.openxmlformats.org/officeDocument/2006/relationships/hyperlink" Target="http://www.equalityrights.org/cera/docs/golden.htm" TargetMode="External"/><Relationship Id="rId16" Type="http://schemas.openxmlformats.org/officeDocument/2006/relationships/hyperlink" Target="http://www.unhousingrapp.org/user/pages/04.resources/A-73-301-Rev1p.pdf" TargetMode="External"/><Relationship Id="rId1" Type="http://schemas.openxmlformats.org/officeDocument/2006/relationships/hyperlink" Target="http://www.ohrc.on.ca/en/taking-the-pulse-peoples-opinions-human-rights-ontario" TargetMode="External"/><Relationship Id="rId6" Type="http://schemas.openxmlformats.org/officeDocument/2006/relationships/hyperlink" Target="https://wraphome.org/what/homeless-bill-of-rights" TargetMode="External"/><Relationship Id="rId11" Type="http://schemas.openxmlformats.org/officeDocument/2006/relationships/hyperlink" Target="http://socialrightscura.ca/eng/Advancing-social-rights.html" TargetMode="External"/><Relationship Id="rId5" Type="http://schemas.openxmlformats.org/officeDocument/2006/relationships/hyperlink" Target="http://www.unhousingrapp.org/user/pages/04.resources/A-73-301-Rev1p.pdf" TargetMode="External"/><Relationship Id="rId15" Type="http://schemas.openxmlformats.org/officeDocument/2006/relationships/hyperlink" Target="https://www.refworld.org/pdfid/47a7079a1.pdf" TargetMode="External"/><Relationship Id="rId10" Type="http://schemas.openxmlformats.org/officeDocument/2006/relationships/hyperlink" Target="http://socialrightscura.ca/eng/Advancing-social-rights.html" TargetMode="External"/><Relationship Id="rId4" Type="http://schemas.openxmlformats.org/officeDocument/2006/relationships/hyperlink" Target="https://www.toronto.ca/legdocs/mmis/2019/ph/bgrd/backgroundfile-124480.pdf" TargetMode="External"/><Relationship Id="rId9" Type="http://schemas.openxmlformats.org/officeDocument/2006/relationships/hyperlink" Target="https://journals.library.ualberta.ca/constitutional_forum/index.php/constitutional_forum/article/view/12099/9143" TargetMode="External"/><Relationship Id="rId14" Type="http://schemas.openxmlformats.org/officeDocument/2006/relationships/hyperlink" Target="https://www.refworld.org/pdfid/416407c8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8293C446A2B24FAFBBC314A0B3AB33" ma:contentTypeVersion="11" ma:contentTypeDescription="Create a new document." ma:contentTypeScope="" ma:versionID="eefb54b811827319907a8f205b510da0">
  <xsd:schema xmlns:xsd="http://www.w3.org/2001/XMLSchema" xmlns:xs="http://www.w3.org/2001/XMLSchema" xmlns:p="http://schemas.microsoft.com/office/2006/metadata/properties" xmlns:ns3="92d91c90-b67d-46ad-9baa-61db8519f89e" xmlns:ns4="2dfc3667-b7c6-4dcc-b453-d8e82793fecb" targetNamespace="http://schemas.microsoft.com/office/2006/metadata/properties" ma:root="true" ma:fieldsID="c9eb0d2cdaaf1d2cbf9990bdca4084b7" ns3:_="" ns4:_="">
    <xsd:import namespace="92d91c90-b67d-46ad-9baa-61db8519f89e"/>
    <xsd:import namespace="2dfc3667-b7c6-4dcc-b453-d8e82793fe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91c90-b67d-46ad-9baa-61db8519f8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c3667-b7c6-4dcc-b453-d8e82793fe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8155AB-63DF-4DC0-B2F7-1C67AB446589}">
  <ds:schemaRefs>
    <ds:schemaRef ds:uri="http://schemas.openxmlformats.org/officeDocument/2006/bibliography"/>
  </ds:schemaRefs>
</ds:datastoreItem>
</file>

<file path=customXml/itemProps2.xml><?xml version="1.0" encoding="utf-8"?>
<ds:datastoreItem xmlns:ds="http://schemas.openxmlformats.org/officeDocument/2006/customXml" ds:itemID="{9EFDDE50-46D9-446F-B0D5-F50805A1BFD9}">
  <ds:schemaRefs>
    <ds:schemaRef ds:uri="http://schemas.microsoft.com/sharepoint/v3/contenttype/forms"/>
  </ds:schemaRefs>
</ds:datastoreItem>
</file>

<file path=customXml/itemProps3.xml><?xml version="1.0" encoding="utf-8"?>
<ds:datastoreItem xmlns:ds="http://schemas.openxmlformats.org/officeDocument/2006/customXml" ds:itemID="{FE0C0E40-E735-4527-B4F3-14676D63D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91c90-b67d-46ad-9baa-61db8519f89e"/>
    <ds:schemaRef ds:uri="2dfc3667-b7c6-4dcc-b453-d8e82793f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E69AA0-403C-4CD5-9C5A-D136FE7001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8798</Words>
  <Characters>50155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 Rachamalla</dc:creator>
  <cp:lastModifiedBy>jbp</cp:lastModifiedBy>
  <cp:revision>2</cp:revision>
  <cp:lastPrinted>2019-10-15T18:02:00Z</cp:lastPrinted>
  <dcterms:created xsi:type="dcterms:W3CDTF">2026-06-23T10:24:00Z</dcterms:created>
  <dcterms:modified xsi:type="dcterms:W3CDTF">2026-06-23T10:24:00Z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0x0101006B8293C446A2B24FAFBBC314A0B3AB33</vt:lpwstr>
  </property>
</Properties>
</file>